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5.png" ContentType="image/png"/>
  <Override PartName="/word/media/rId43.png" ContentType="image/png"/>
  <Override PartName="/word/media/rId33.png" ContentType="image/png"/>
  <Override PartName="/word/media/rId39.png" ContentType="image/png"/>
  <Override PartName="/word/media/rId89.png" ContentType="image/png"/>
  <Override PartName="/word/media/rId168.png" ContentType="image/png"/>
  <Override PartName="/word/media/rId167.png" ContentType="image/png"/>
  <Override PartName="/word/media/rId177.png" ContentType="image/png"/>
  <Override PartName="/word/media/rId164.png" ContentType="image/png"/>
  <Override PartName="/word/media/rId163.png" ContentType="image/png"/>
  <Override PartName="/word/media/rId76.png" ContentType="image/png"/>
  <Override PartName="/word/media/rId73.png" ContentType="image/png"/>
  <Override PartName="/word/media/rId75.png" ContentType="image/png"/>
  <Override PartName="/word/media/rId72.png" ContentType="image/png"/>
  <Override PartName="/word/media/rId78.png" ContentType="image/png"/>
  <Override PartName="/word/media/rId159.png" ContentType="image/png"/>
  <Override PartName="/word/media/rId118.png" ContentType="image/png"/>
  <Override PartName="/word/media/rId115.png" ContentType="image/png"/>
  <Override PartName="/word/media/rId113.png" ContentType="image/png"/>
  <Override PartName="/word/media/rId169.png" ContentType="image/png"/>
  <Override PartName="/word/media/rId108.png" ContentType="image/png"/>
  <Override PartName="/word/media/rId111.png" ContentType="image/png"/>
  <Override PartName="/word/media/rId104.png" ContentType="image/png"/>
  <Override PartName="/word/media/rId106.png" ContentType="image/png"/>
  <Override PartName="/word/media/rId96.png" ContentType="image/png"/>
  <Override PartName="/word/media/rId100.png" ContentType="image/png"/>
  <Override PartName="/word/media/rId98.png" ContentType="image/png"/>
  <Override PartName="/word/media/rId121.png" ContentType="image/png"/>
  <Override PartName="/word/media/rId124.png" ContentType="image/png"/>
  <Override PartName="/word/media/rId123.png" ContentType="image/png"/>
  <Override PartName="/word/media/rId64.png" ContentType="image/png"/>
  <Override PartName="/word/media/rId65.png" ContentType="image/png"/>
  <Override PartName="/word/media/rId157.png" ContentType="image/png"/>
  <Override PartName="/word/media/rId156.png" ContentType="image/png"/>
  <Override PartName="/word/media/rId155.png" ContentType="image/png"/>
  <Override PartName="/word/media/rId154.png" ContentType="image/png"/>
  <Override PartName="/word/media/rId59.png" ContentType="image/png"/>
  <Override PartName="/word/media/rId57.png" ContentType="image/png"/>
  <Override PartName="/word/media/rId153.png" ContentType="image/png"/>
  <Override PartName="/word/media/rId174.png" ContentType="image/png"/>
  <Override PartName="/word/media/rId175.png" ContentType="image/png"/>
  <Override PartName="/word/media/rId148.png" ContentType="image/png"/>
  <Override PartName="/word/media/rId120.png" ContentType="image/png"/>
  <Override PartName="/word/media/rId152.png" ContentType="image/png"/>
  <Override PartName="/word/media/rId151.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concentration</w:t>
      </w:r>
      <w:r>
        <w:t xml:space="preserve"> </w:t>
      </w:r>
      <w:r>
        <w:t xml:space="preserve">and</w:t>
      </w:r>
      <w:r>
        <w:t xml:space="preserve"> </w:t>
      </w:r>
      <w:r>
        <w:t xml:space="preserve">character</w:t>
      </w:r>
      <w:r>
        <w:t xml:space="preserve"> </w:t>
      </w:r>
      <w:r>
        <w:t xml:space="preserve">across</w:t>
      </w:r>
      <w:r>
        <w:t xml:space="preserve"> </w:t>
      </w:r>
      <w:r>
        <w:t xml:space="preserve">the</w:t>
      </w:r>
      <w:r>
        <w:t xml:space="preserve"> </w:t>
      </w:r>
      <w:r>
        <w:t xml:space="preserve">Leech</w:t>
      </w:r>
      <w:r>
        <w:t xml:space="preserve"> </w:t>
      </w:r>
      <w:r>
        <w:t xml:space="preserve">River</w:t>
      </w:r>
      <w:r>
        <w:t xml:space="preserve"> </w:t>
      </w:r>
      <w:r>
        <w:t xml:space="preserve">watershed,</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drinking</w:t>
      </w:r>
      <w:r>
        <w:t xml:space="preserve"> </w:t>
      </w:r>
      <w:r>
        <w:t xml:space="preserve">water</w:t>
      </w:r>
      <w:r>
        <w:t xml:space="preserve"> </w:t>
      </w:r>
      <w:r>
        <w:t xml:space="preserve">supply</w:t>
      </w:r>
      <w:r>
        <w:t xml:space="preserve"> </w:t>
      </w:r>
      <w:r>
        <w:t xml:space="preserve">area</w:t>
      </w:r>
      <w:r>
        <w:t xml:space="preserve"> </w:t>
      </w:r>
      <w:r>
        <w:t xml:space="preserve">on</w:t>
      </w:r>
      <w:r>
        <w:t xml:space="preserve"> </w:t>
      </w:r>
      <w:r>
        <w:t xml:space="preserve">Vancouver</w:t>
      </w:r>
      <w:r>
        <w:t xml:space="preserve"> </w:t>
      </w:r>
      <w:r>
        <w:t xml:space="preserve">Island,</w:t>
      </w:r>
      <w:r>
        <w:t xml:space="preserve"> </w:t>
      </w:r>
      <w:r>
        <w:t xml:space="preserve">BC:</w:t>
      </w:r>
      <w:r>
        <w:t xml:space="preserve"> </w:t>
      </w:r>
      <w:r>
        <w:t xml:space="preserve">an</w:t>
      </w:r>
      <w:r>
        <w:t xml:space="preserve"> </w:t>
      </w:r>
      <w:r>
        <w:t xml:space="preserve">assessment</w:t>
      </w:r>
      <w:r>
        <w:t xml:space="preserve"> </w:t>
      </w:r>
      <w:r>
        <w:t xml:space="preserve">of</w:t>
      </w:r>
      <w:r>
        <w:t xml:space="preserve"> </w:t>
      </w:r>
      <w:r>
        <w:t xml:space="preserve">dissolved</w:t>
      </w:r>
      <w:r>
        <w:t xml:space="preserve"> </w:t>
      </w:r>
      <w:r>
        <w:t xml:space="preserve">organic</w:t>
      </w:r>
      <w:r>
        <w:t xml:space="preserve"> </w:t>
      </w:r>
      <w:r>
        <w:t xml:space="preserve">carbon</w:t>
      </w:r>
      <w:r>
        <w:t xml:space="preserve"> </w:t>
      </w:r>
      <w:r>
        <w:t xml:space="preserve">and</w:t>
      </w:r>
      <w:r>
        <w:t xml:space="preserve"> </w:t>
      </w:r>
      <w:r>
        <w:t xml:space="preserve">spectral</w:t>
      </w:r>
      <w:r>
        <w:t xml:space="preserve"> </w:t>
      </w:r>
      <w:r>
        <w:t xml:space="preserve">properties</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w:t>
      </w:r>
      <w:r>
        <w:rPr>
          <w:vertAlign w:val="superscript"/>
        </w:rPr>
        <w:t xml:space="preserve">2</w:t>
      </w:r>
      <w:r>
        <w:t xml:space="preserve"> </w:t>
      </w:r>
      <w:r>
        <w:t xml:space="preserve">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 </w:t>
      </w:r>
    </w:p>
    <w:p>
      <w:pPr>
        <w:pStyle w:val="BodyText"/>
      </w:pPr>
      <w:r>
        <w:t xml:space="preserve">Vertical sampling racks (Chapter 2) were based on principles employed by Maartje Korver (MSc Vrije Universiteit Amsterdam) at Hakai Institute, BC, Canada. Siphon sampling bottles were built by H.J. McSorley based on US Geological Survey’s single-stage siphon sampler for suspended sediment design (USGS U-59 Sampler) and a prototype provided by M. Korver.</w:t>
      </w:r>
    </w:p>
    <w:p>
      <w:pPr>
        <w:pStyle w:val="BodyText"/>
      </w:pPr>
      <w:r>
        <w:t xml:space="preserve"> </w:t>
      </w:r>
    </w:p>
    <w:p>
      <w:pPr>
        <w:pStyle w:val="BodyText"/>
      </w:pPr>
      <w:r>
        <w:t xml:space="preserve">Laboratory analyses conducted at the University of British Columbia (UBC), and all data analysis (using R (R 3.6.2) in RStudio (Version 1.3.820)) were completed solely by H.J. McSorley.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Bucuresti;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pPr>
        <w:pStyle w:val="BodyText"/>
      </w:pPr>
      <w:r>
        <w:t xml:space="preserve"> </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 List of Abbreviations</w:t>
      </w:r>
    </w:p>
    <w:tbl>
      <w:tblPr>
        <w:tblStyle w:val="Table"/>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E2:E3</w:t>
            </w:r>
          </w:p>
        </w:tc>
        <w:tc>
          <w:p>
            <w:pPr>
              <w:pStyle w:val="Compact"/>
              <w:jc w:val="left"/>
            </w:pPr>
            <w:r>
              <w:t xml:space="preserve">Quotient of SAC250 divided by SAC365</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RF</w:t>
            </w:r>
          </w:p>
        </w:tc>
        <w:tc>
          <w:p>
            <w:pPr>
              <w:pStyle w:val="Compact"/>
              <w:jc w:val="left"/>
            </w:pPr>
            <w:r>
              <w:t xml:space="preserve">Random Forest</w:t>
            </w:r>
          </w:p>
        </w:tc>
      </w:tr>
      <w:tr>
        <w:tc>
          <w:p>
            <w:pPr>
              <w:pStyle w:val="Compact"/>
              <w:jc w:val="left"/>
            </w:pPr>
            <w:r>
              <w:t xml:space="preserve">RSD</w:t>
            </w:r>
          </w:p>
        </w:tc>
        <w:tc>
          <w:p>
            <w:pPr>
              <w:pStyle w:val="Compact"/>
              <w:jc w:val="left"/>
            </w:pPr>
            <w:r>
              <w:t xml:space="preserve">Relative standard deviation (a.k.a coefficient of variance)</w:t>
            </w:r>
          </w:p>
        </w:tc>
      </w:tr>
      <w:tr>
        <w:tc>
          <w:p>
            <w:pPr>
              <w:pStyle w:val="Compact"/>
              <w:jc w:val="left"/>
            </w:pPr>
            <w:r>
              <w:t xml:space="preserve">SAC254</w:t>
            </w:r>
          </w:p>
        </w:tc>
        <w:tc>
          <w:p>
            <w:pPr>
              <w:pStyle w:val="Compact"/>
              <w:jc w:val="left"/>
            </w:pPr>
            <w:r>
              <w:t xml:space="preserve">Spectral absorbance coefficient at 254 nm (absorbance at 254 nm divided by pathlength)</w:t>
            </w:r>
          </w:p>
        </w:tc>
      </w:tr>
      <w:tr>
        <w:tc>
          <w:p>
            <w:pPr>
              <w:pStyle w:val="Compact"/>
              <w:jc w:val="left"/>
            </w:pPr>
            <w:r>
              <w:t xml:space="preserve">VIM</w:t>
            </w:r>
          </w:p>
        </w:tc>
        <w:tc>
          <w:p>
            <w:pPr>
              <w:pStyle w:val="Compact"/>
              <w:jc w:val="left"/>
            </w:pPr>
            <w:r>
              <w:t xml:space="preserve">Variable Importance Measure (in randomForest, R)</w:t>
            </w:r>
          </w:p>
        </w:tc>
      </w:tr>
    </w:tbl>
    <w:p>
      <w:pPr>
        <w:pStyle w:val="BodyText"/>
      </w:pPr>
      <w:r>
        <w:t xml:space="preserve"> </w:t>
      </w:r>
    </w:p>
    <w:p>
      <w:pPr>
        <w:pStyle w:val="TableCaption"/>
      </w:pPr>
      <w:r>
        <w:t xml:space="preserve">Table 2: Glossary of Terms</w:t>
      </w:r>
    </w:p>
    <w:tbl>
      <w:tblPr>
        <w:tblStyle w:val="Table"/>
        <w:tblW w:type="pct" w:w="0.0"/>
        <w:tblLook w:firstRow="1"/>
        <w:tblCaption w:val="Table 2: Glossary of Terms"/>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Absorbance</w:t>
            </w:r>
          </w:p>
        </w:tc>
        <w:tc>
          <w:p>
            <w:pPr>
              <w:pStyle w:val="Compact"/>
              <w:jc w:val="left"/>
            </w:pPr>
            <w:r>
              <w:t xml:space="preserve">molecular interference with a beam of light in which a molecule absorbs a portion of irradiated light (UV-VIS spectroscopy employs this attribute to quantify compounds, as absorbance is proportional to molecular concentration via Beers Law)</w:t>
            </w:r>
          </w:p>
        </w:tc>
      </w:tr>
      <w:tr>
        <w:tc>
          <w:p>
            <w:pPr>
              <w:pStyle w:val="Compact"/>
              <w:jc w:val="left"/>
            </w:pPr>
            <w:r>
              <w:t xml:space="preserve">Aliphatic</w:t>
            </w:r>
          </w:p>
        </w:tc>
        <w:tc>
          <w:p>
            <w:pPr>
              <w:pStyle w:val="Compact"/>
              <w:jc w:val="left"/>
            </w:pPr>
            <w:r>
              <w:t xml:space="preserve">class of hydrocarbons characterized by lack of conjugated pi-bonds, which could be straight-chain, branched chain or saturated ring structures (e.g. squalene C30H50)</w:t>
            </w:r>
          </w:p>
        </w:tc>
      </w:tr>
      <w:tr>
        <w:tc>
          <w:p>
            <w:pPr>
              <w:pStyle w:val="Compact"/>
              <w:jc w:val="left"/>
            </w:pPr>
            <w:r>
              <w:t xml:space="preserve">Allochthonous</w:t>
            </w:r>
          </w:p>
        </w:tc>
        <w:tc>
          <w:p>
            <w:pPr>
              <w:pStyle w:val="Compact"/>
              <w:jc w:val="left"/>
            </w:pPr>
            <w:r>
              <w:t xml:space="preserve">natural organic matter (NOM) that is formed formed outside of a water body and then transported into the water body; composition depends on the plant-derived precursor compounds and natural diagenetic processes that alter its composition</w:t>
            </w:r>
          </w:p>
        </w:tc>
      </w:tr>
      <w:tr>
        <w:tc>
          <w:p>
            <w:pPr>
              <w:pStyle w:val="Compact"/>
              <w:jc w:val="left"/>
            </w:pPr>
            <w:r>
              <w:t xml:space="preserve">Aromatic</w:t>
            </w:r>
          </w:p>
        </w:tc>
        <w:tc>
          <w:p>
            <w:pPr>
              <w:pStyle w:val="Compact"/>
              <w:jc w:val="left"/>
            </w:pPr>
            <w:r>
              <w:t xml:space="preserve">class of hydrocarbons characterized by presence of conjugated pi-bonds with a ring structure (e.g. benzene C6H6)</w:t>
            </w:r>
          </w:p>
        </w:tc>
      </w:tr>
      <w:tr>
        <w:tc>
          <w:p>
            <w:pPr>
              <w:pStyle w:val="Compact"/>
              <w:jc w:val="left"/>
            </w:pPr>
            <w:r>
              <w:t xml:space="preserve">Autochthonous</w:t>
            </w:r>
          </w:p>
        </w:tc>
        <w:tc>
          <w:p>
            <w:pPr>
              <w:pStyle w:val="Compact"/>
              <w:jc w:val="left"/>
            </w:pPr>
            <w:r>
              <w:t xml:space="preserve">natural organic matter (NOM) that is formed in place (in stream) generally by micro-organisms</w:t>
            </w:r>
          </w:p>
        </w:tc>
      </w:tr>
      <w:tr>
        <w:tc>
          <w:p>
            <w:pPr>
              <w:pStyle w:val="Compact"/>
              <w:jc w:val="left"/>
            </w:pPr>
            <w:r>
              <w:t xml:space="preserve">Capital Regional District</w:t>
            </w:r>
          </w:p>
        </w:tc>
        <w:tc>
          <w:p>
            <w:pPr>
              <w:pStyle w:val="Compact"/>
              <w:jc w:val="left"/>
            </w:pPr>
            <w:r>
              <w:t xml:space="preserve">governing/municipal body for the Greater Victoria Area and the managing group for water supply and watershed management. Research partners in the forWater Network &amp; hosts for this thesis research in the LWSA</w:t>
            </w:r>
          </w:p>
        </w:tc>
      </w:tr>
      <w:tr>
        <w:tc>
          <w:p>
            <w:pPr>
              <w:pStyle w:val="Compact"/>
              <w:jc w:val="left"/>
            </w:pPr>
            <w:r>
              <w:t xml:space="preserve">Chromophore</w:t>
            </w:r>
          </w:p>
        </w:tc>
        <w:tc>
          <w:p>
            <w:pPr>
              <w:pStyle w:val="Compact"/>
              <w:jc w:val="left"/>
            </w:pPr>
            <w:r>
              <w:t xml:space="preserve">part of a molecule (structure) that absorbs visible light and is responsible for molecular colour (function). Chromophores are generally conjugated pi-bond systems in the molecule, commonly aromatic structures. UV-Vis abosrbance measurements can be a proxy for molecular aromaticity because of the relationship between aromaticity and chromophoric absorbance.</w:t>
            </w:r>
          </w:p>
        </w:tc>
      </w:tr>
      <w:tr>
        <w:tc>
          <w:p>
            <w:pPr>
              <w:pStyle w:val="Compact"/>
              <w:jc w:val="left"/>
            </w:pPr>
            <w:r>
              <w:t xml:space="preserve">Discharge / Streamflow</w:t>
            </w:r>
          </w:p>
        </w:tc>
        <w:tc>
          <w:p>
            <w:pPr>
              <w:pStyle w:val="Compact"/>
              <w:jc w:val="left"/>
            </w:pPr>
            <w:r>
              <w:t xml:space="preserve">the volume of water moving through a river channel over a defined period of time. In general, river discharge is computed by multiplying the area of water in a channel cross section by the average velocity of the water in that cross section</w:t>
            </w:r>
          </w:p>
        </w:tc>
      </w:tr>
      <w:tr>
        <w:tc>
          <w:p>
            <w:pPr>
              <w:pStyle w:val="Compact"/>
              <w:jc w:val="left"/>
            </w:pPr>
            <w:r>
              <w:t xml:space="preserve">Disinfection By-Product Formation Potential</w:t>
            </w:r>
          </w:p>
        </w:tc>
        <w:tc>
          <w:p>
            <w:pPr>
              <w:pStyle w:val="Compact"/>
              <w:jc w:val="left"/>
            </w:pPr>
            <w:r>
              <w:t xml:space="preserve">experimentally predicted amount of DBPs created through chlorination</w:t>
            </w:r>
          </w:p>
        </w:tc>
      </w:tr>
      <w:tr>
        <w:tc>
          <w:p>
            <w:pPr>
              <w:pStyle w:val="Compact"/>
              <w:jc w:val="left"/>
            </w:pPr>
            <w:r>
              <w:t xml:space="preserve">Disinfection By-Products</w:t>
            </w:r>
          </w:p>
        </w:tc>
        <w:tc>
          <w:p>
            <w:pPr>
              <w:pStyle w:val="Compact"/>
              <w:jc w:val="left"/>
            </w:pPr>
            <w:r>
              <w:t xml:space="preserve">group of unintentional halogenated organic compounds resulting from chlorination of source drinking water (e.g. trihalomethanes, halogenic acetic acids, Haloacetonitrils, haloketons)</w:t>
            </w:r>
          </w:p>
        </w:tc>
      </w:tr>
      <w:tr>
        <w:tc>
          <w:p>
            <w:pPr>
              <w:pStyle w:val="Compact"/>
              <w:jc w:val="left"/>
            </w:pPr>
            <w:r>
              <w:t xml:space="preserve">Dissolved organic carbon (DOC)</w:t>
            </w:r>
          </w:p>
        </w:tc>
        <w:tc>
          <w:p>
            <w:pPr>
              <w:pStyle w:val="Compact"/>
              <w:jc w:val="left"/>
            </w:pPr>
            <w:r>
              <w:t xml:space="preserve">organic carbon compounds that are operationally defined as being finer than 0.45 micron. DOC makes up the majority of dissolved organic matter</w:t>
            </w:r>
          </w:p>
        </w:tc>
      </w:tr>
      <w:tr>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Greater Victoria Water Supply Area</w:t>
            </w:r>
          </w:p>
        </w:tc>
        <w:tc>
          <w:p>
            <w:pPr>
              <w:pStyle w:val="Compact"/>
              <w:jc w:val="left"/>
            </w:pPr>
            <w:r>
              <w:t xml:space="preserve">20,549 hectares of protected drinking water catchment lands owned and operated by the CRD (including Sooke Lake reservoir (primary supply source), Goldstream watershed and reservoir system (secondary supply) and LWSA)</w:t>
            </w:r>
          </w:p>
        </w:tc>
      </w:tr>
      <w:tr>
        <w:tc>
          <w:p>
            <w:pPr>
              <w:pStyle w:val="Compact"/>
              <w:jc w:val="left"/>
            </w:pPr>
            <w:r>
              <w:t xml:space="preserve">High density polyethylene (sample bottles)</w:t>
            </w:r>
          </w:p>
        </w:tc>
        <w:tc>
          <w:p>
            <w:pPr>
              <w:pStyle w:val="Compact"/>
              <w:jc w:val="left"/>
            </w:pPr>
            <w:r>
              <w:t xml:space="preserve">plastic material that is impact resistant with good chemical compatibility. Suitable bottle material for water sample collection.</w:t>
            </w:r>
          </w:p>
        </w:tc>
      </w:tr>
      <w:tr>
        <w:tc>
          <w:p>
            <w:pPr>
              <w:pStyle w:val="Compact"/>
              <w:jc w:val="left"/>
            </w:pPr>
            <w:r>
              <w:t xml:space="preserve">Leech Water Supply Area</w:t>
            </w:r>
          </w:p>
        </w:tc>
        <w:tc>
          <w:p>
            <w:pPr>
              <w:pStyle w:val="Compact"/>
              <w:jc w:val="left"/>
            </w:pPr>
            <w:r>
              <w:t xml:space="preserve">future supplemental water supply area for the Greater Victoria Area &amp; the main research site for this research project</w:t>
            </w:r>
          </w:p>
        </w:tc>
      </w:tr>
      <w:tr>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Non-Purgeable Organic Carbon</w:t>
            </w:r>
          </w:p>
        </w:tc>
        <w:tc>
          <w:p>
            <w:pPr>
              <w:pStyle w:val="Compact"/>
              <w:jc w:val="left"/>
            </w:pPr>
            <w:r>
              <w:t xml:space="preserve">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tc>
          <w:p>
            <w:pPr>
              <w:pStyle w:val="Compact"/>
              <w:jc w:val="left"/>
            </w:pPr>
            <w:r>
              <w:t xml:space="preserve">Pi Bond</w:t>
            </w:r>
          </w:p>
        </w:tc>
        <w:tc>
          <w:p>
            <w:pPr>
              <w:pStyle w:val="Compact"/>
              <w:jc w:val="left"/>
            </w:pPr>
            <w:r>
              <w:t xml:space="preserve">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bionds can lead to increased molecular stability (through resonance structures), aromaticity, and chromophores.</w:t>
            </w:r>
          </w:p>
        </w:tc>
      </w:tr>
      <w:tr>
        <w:tc>
          <w:p>
            <w:pPr>
              <w:pStyle w:val="Compact"/>
              <w:jc w:val="left"/>
            </w:pPr>
            <w:r>
              <w:t xml:space="preserve">Quality Assurance &amp; Quality Control</w:t>
            </w:r>
          </w:p>
        </w:tc>
        <w:tc>
          <w:p>
            <w:pPr>
              <w:pStyle w:val="Compact"/>
              <w:jc w:val="left"/>
            </w:pPr>
            <w:r>
              <w:t xml:space="preserve">methods of providing confidence in the quality of results, both are part of quality management (QA is more process oriented, QC is more product oriented)</w:t>
            </w:r>
          </w:p>
        </w:tc>
      </w:tr>
      <w:tr>
        <w:tc>
          <w:p>
            <w:pPr>
              <w:pStyle w:val="Compact"/>
              <w:jc w:val="left"/>
            </w:pPr>
            <w:r>
              <w:t xml:space="preserve">Random Forest</w:t>
            </w:r>
          </w:p>
        </w:tc>
        <w:tc>
          <w:p>
            <w:pPr>
              <w:pStyle w:val="Compact"/>
              <w:jc w:val="left"/>
            </w:pPr>
            <w:r>
              <w:t xml:space="preserve">Statistical machine learning algorithm (collection of classification and regression trees)</w:t>
            </w:r>
          </w:p>
        </w:tc>
      </w:tr>
      <w:tr>
        <w:tc>
          <w:p>
            <w:pPr>
              <w:pStyle w:val="Compact"/>
              <w:jc w:val="left"/>
            </w:pPr>
            <w:r>
              <w:t xml:space="preserve">Relative standard deviation (a.k.a coefficient of variance)</w:t>
            </w:r>
          </w:p>
        </w:tc>
        <w:tc>
          <w:p>
            <w:pPr>
              <w:pStyle w:val="Compact"/>
              <w:jc w:val="left"/>
            </w:pPr>
            <w:r>
              <w:t xml:space="preserve">An expression of standard deviation relative to the mean, expressed as a percentage (RSD = (sd/mean)*100)</w:t>
            </w:r>
          </w:p>
        </w:tc>
      </w:tr>
      <w:tr>
        <w:tc>
          <w:p>
            <w:pPr>
              <w:pStyle w:val="Compact"/>
              <w:jc w:val="left"/>
            </w:pPr>
            <w:r>
              <w:t xml:space="preserve">Spectroscopy</w:t>
            </w:r>
          </w:p>
        </w:tc>
        <w:tc>
          <w:p>
            <w:pPr>
              <w:pStyle w:val="Compact"/>
              <w:jc w:val="left"/>
            </w:pPr>
            <w:r>
              <w:t xml:space="preserve">quantitative and/or qualitative analytical techniques relying on the interaction of matter with electromagnetic radiation (e.g. light). Generally preserves the measured sample (can be used in-line with other analyses)</w:t>
            </w:r>
          </w:p>
        </w:tc>
      </w:tr>
      <w:tr>
        <w:tc>
          <w:p>
            <w:pPr>
              <w:pStyle w:val="Compact"/>
              <w:jc w:val="left"/>
            </w:pPr>
            <w:r>
              <w:t xml:space="preserve">Stream stage</w:t>
            </w:r>
          </w:p>
        </w:tc>
        <w:tc>
          <w:p>
            <w:pPr>
              <w:pStyle w:val="Compact"/>
              <w:jc w:val="left"/>
            </w:pPr>
            <w:r>
              <w:t xml:space="preserve">water level above an arbitrary point (e.g. bottom of a stilling well, streambed, step)</w:t>
            </w:r>
          </w:p>
        </w:tc>
      </w:tr>
      <w:tr>
        <w:tc>
          <w:p>
            <w:pPr>
              <w:pStyle w:val="Compact"/>
              <w:jc w:val="left"/>
            </w:pPr>
            <w:r>
              <w:t xml:space="preserve">Total suspended solids (TSS)</w:t>
            </w:r>
          </w:p>
        </w:tc>
        <w:tc>
          <w:p>
            <w:pPr>
              <w:pStyle w:val="Compact"/>
              <w:jc w:val="left"/>
            </w:pPr>
            <w:r>
              <w:t xml:space="preserve">particles that are suspended in the water column (generally, fine sediments will transport further downstream than coarse sediments)</w:t>
            </w:r>
          </w:p>
        </w:tc>
      </w:tr>
      <w:tr>
        <w:tc>
          <w:p>
            <w:pPr>
              <w:pStyle w:val="Compact"/>
              <w:jc w:val="left"/>
            </w:pPr>
            <w:r>
              <w:t xml:space="preserve">Turbidity</w:t>
            </w:r>
          </w:p>
        </w:tc>
        <w:tc>
          <w:p>
            <w:pPr>
              <w:pStyle w:val="Compact"/>
              <w:jc w:val="left"/>
            </w:pPr>
            <w:r>
              <w:t xml:space="preserve">optical measurement of the</w:t>
            </w:r>
            <w:r>
              <w:t xml:space="preserve"> </w:t>
            </w:r>
            <w:r>
              <w:t xml:space="preserve">“</w:t>
            </w:r>
            <w:r>
              <w:t xml:space="preserve">cloudiness</w:t>
            </w:r>
            <w:r>
              <w:t xml:space="preserve">”</w:t>
            </w:r>
            <w:r>
              <w:t xml:space="preserve"> </w:t>
            </w:r>
            <w:r>
              <w:t xml:space="preserve">or clarity of water, used as a proxy for total suspended solids. Measures the reduction in a beam of light based on particle-based light scattering to establish the amount of suspended material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Haesevoats, Annette Constabel,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forWater Network: Suzanne Tank, Mike Stone, Dana Harriman, Monica Emelko, Uldis Silins, and Axel Anderson. Thank you all for interesting discussions and your feedback. I’m grateful to the entire forWater Network for providing transdisciplinary training and workshops. Thank you to Emily Mistick for being my forWater travel buddy, for bouncing ideas and concepts around with me, and for checking my writing, each forWater trip was better with you there.</w:t>
      </w:r>
    </w:p>
    <w:p>
      <w:pPr>
        <w:pStyle w:val="BodyText"/>
      </w:pPr>
      <w:r>
        <w:t xml:space="preserve"> </w:t>
      </w:r>
    </w:p>
    <w:p>
      <w:pPr>
        <w:pStyle w:val="BodyText"/>
      </w:pPr>
      <w:r>
        <w:t xml:space="preserve">I would like to acknowledge Vancouver Island University, University of British Columbia, the NSERC Canadian Graduate Scholarship Masters Award, and the NSERC forWater Network for Source Water Protection Strategies – thank you for supporting me financial (and tangibly) as a master’s student.</w:t>
      </w:r>
    </w:p>
    <w:p>
      <w:pPr>
        <w:pStyle w:val="BodyText"/>
      </w:pPr>
      <w:r>
        <w:t xml:space="preserve"> </w:t>
      </w:r>
    </w:p>
    <w:p>
      <w:pPr>
        <w:pStyle w:val="BodyText"/>
      </w:pPr>
      <w:r>
        <w:t xml:space="preserve">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et al.</w:t>
      </w:r>
      <w:r>
        <w:t xml:space="preserve"> </w:t>
      </w:r>
      <w:hyperlink w:anchor="ref-MWH2014">
        <w:r>
          <w:rPr>
            <w:rStyle w:val="Hyperlink"/>
          </w:rPr>
          <w:t xml:space="preserve">2012</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et al.</w:t>
      </w:r>
      <w:r>
        <w:t xml:space="preserve"> </w:t>
      </w:r>
      <w:hyperlink w:anchor="ref-MWH2014">
        <w:r>
          <w:rPr>
            <w:rStyle w:val="Hyperlink"/>
          </w:rPr>
          <w:t xml:space="preserve">2012</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f0154c72fa393fdd80636869b14743d3cef7466"/>
      <w:r>
        <w:t xml:space="preserve">Aqueous natural organic matter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et al.</w:t>
      </w:r>
      <w:r>
        <w:t xml:space="preserve"> </w:t>
      </w:r>
      <w:hyperlink w:anchor="ref-MWH2014">
        <w:r>
          <w:rPr>
            <w:rStyle w:val="Hyperlink"/>
          </w:rPr>
          <w:t xml:space="preserve">2012</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(or the</w:t>
      </w:r>
      <w:r>
        <w:t xml:space="preserve"> </w:t>
      </w:r>
      <w:r>
        <w:t xml:space="preserve">“</w:t>
      </w:r>
      <w:r>
        <w:t xml:space="preserve">great modulator</w:t>
      </w:r>
      <w:r>
        <w:t xml:space="preserve">”</w:t>
      </w:r>
      <w:r>
        <w:t xml:space="preserve">) due to it’s terrestrial-aquatic linkages, influence on water chemistry and role in contaminant transport</w:t>
      </w:r>
      <w:r>
        <w:t xml:space="preserve"> </w:t>
      </w:r>
      <w:r>
        <w:t xml:space="preserve">(Stanley et al.</w:t>
      </w:r>
      <w:r>
        <w:t xml:space="preserve"> </w:t>
      </w:r>
      <w:hyperlink w:anchor="ref-Stanley2012">
        <w:r>
          <w:rPr>
            <w:rStyle w:val="Hyperlink"/>
          </w:rPr>
          <w:t xml:space="preserve">2012</w:t>
        </w:r>
      </w:hyperlink>
      <w:r>
        <w:t xml:space="preserve">; 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br/>
      </w:r>
    </w:p>
    <w:p>
      <w:pPr>
        <w:pStyle w:val="Heading5"/>
      </w:pPr>
      <w:bookmarkStart w:id="29" w:name="spectroscopic-assessment-of-nom"/>
      <w:r>
        <w:t xml:space="preserve">Spectroscopic assessment of NOM</w:t>
      </w:r>
      <w:bookmarkEnd w:id="29"/>
    </w:p>
    <w:p>
      <w:pPr>
        <w:pStyle w:val="FirstParagraph"/>
      </w:pPr>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wavelengths</w:t>
      </w:r>
      <w:r>
        <w:t xml:space="preserve"> </w:t>
      </w:r>
      <w:r>
        <w:t xml:space="preserve">(Helms et al.</w:t>
      </w:r>
      <w:r>
        <w:t xml:space="preserve"> </w:t>
      </w:r>
      <w:hyperlink w:anchor="ref-Helms2008">
        <w:r>
          <w:rPr>
            <w:rStyle w:val="Hyperlink"/>
          </w:rPr>
          <w:t xml:space="preserve">2008</w:t>
        </w:r>
      </w:hyperlink>
      <w:r>
        <w:t xml:space="preserve">)</w:t>
      </w:r>
      <w:r>
        <w:t xml:space="preserve">. A more concentrated sample will also lead to greater absorption intensity.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can be estimated from UV-Vis absorbance; a proxy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UV absorbance at 254 nm has been shown to correlate strongly with NOM aromaticity</w:t>
      </w:r>
      <w:r>
        <w:t xml:space="preserve"> </w:t>
      </w:r>
      <w:r>
        <w:t xml:space="preserve">(Weishaar et al.</w:t>
      </w:r>
      <w:r>
        <w:t xml:space="preserve"> </w:t>
      </w:r>
      <w:hyperlink w:anchor="ref-Weishaar2003">
        <w:r>
          <w:rPr>
            <w:rStyle w:val="Hyperlink"/>
          </w:rPr>
          <w:t xml:space="preserve">2003</w:t>
        </w:r>
      </w:hyperlink>
      <w:r>
        <w:t xml:space="preserve">)</w:t>
      </w:r>
      <w:r>
        <w:t xml:space="preserve">. Because allochthonous NOM (i.e. humic substances) are more aromatic than aliphatic, the specific absorbance coefficient at 254 nm (SAC</w:t>
      </w:r>
      <w:r>
        <w:rPr>
          <w:vertAlign w:val="subscript"/>
        </w:rPr>
        <w:t xml:space="preserve">254</w:t>
      </w:r>
      <w:r>
        <w:t xml:space="preserve">, absorbance relative to pathlength) 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the SAC</w:t>
      </w:r>
      <w:r>
        <w:rPr>
          <w:vertAlign w:val="subscript"/>
        </w:rPr>
        <w:t xml:space="preserve">254</w:t>
      </w:r>
      <w:r>
        <w:t xml:space="preserve"> </w:t>
      </w:r>
      <w:r>
        <w:t xml:space="preserve">normalized to the samples DOC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(or simply SAC</w:t>
      </w:r>
      <w:r>
        <w:rPr>
          <w:vertAlign w:val="subscript"/>
        </w:rPr>
        <w:t xml:space="preserve">254</w:t>
      </w:r>
      <w:r>
        <w:t xml:space="preserve">) should be interpreted primarily as an indicator of molecular aromaticity. Aside from DBPs, NOM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The slope of absorbances over certain wavelength ranges (e.g. 275-295 nm (S</w:t>
      </w:r>
      <w:r>
        <w:rPr>
          <w:vertAlign w:val="subscript"/>
        </w:rPr>
        <w:t xml:space="preserve">275-295</w:t>
      </w:r>
      <w:r>
        <w:t xml:space="preserve">) or 350-400 nm (S</w:t>
      </w:r>
      <w:r>
        <w:rPr>
          <w:vertAlign w:val="subscript"/>
        </w:rPr>
        <w:t xml:space="preserve">350-400</w:t>
      </w:r>
      <w:r>
        <w:t xml:space="preserve">)) are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 et al.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w:t>
      </w:r>
      <w:r>
        <w:rPr>
          <w:i/>
        </w:rPr>
        <w:t xml:space="preserve">n</w:t>
      </w:r>
      <w:r>
        <w:t xml:space="preserve">=1006)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 et al.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 et al.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n.d.</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rPr>
          <w:b/>
        </w:rPr>
        <w:t xml:space="preserve">Research Question 1.</w:t>
      </w:r>
      <w:r>
        <w:t xml:space="preserve"> </w:t>
      </w:r>
      <w:r>
        <w:t xml:space="preserve">How does NOM concentration and character vary among adjacent drainage basins and across nested sub-catchments in the Greater Victoria Water Supply Area, and what influence does seasonality have?</w:t>
      </w:r>
    </w:p>
    <w:p>
      <w:pPr>
        <w:pStyle w:val="BodyText"/>
      </w:pPr>
      <w:r>
        <w:rPr>
          <w:b/>
        </w:rPr>
        <w:t xml:space="preserve">Objective 1:</w:t>
      </w:r>
      <w:r>
        <w:t xml:space="preserve"> </w:t>
      </w:r>
      <w:r>
        <w:t xml:space="preserve">Design a sampling strategy to describe spatial and temporal patterns and variation of NOM concentrations and character.</w:t>
      </w:r>
    </w:p>
    <w:p>
      <w:pPr>
        <w:pStyle w:val="BodyText"/>
      </w:pPr>
      <w:r>
        <w:t xml:space="preserve"> </w:t>
      </w:r>
    </w:p>
    <w:p>
      <w:pPr>
        <w:pStyle w:val="BodyText"/>
      </w:pPr>
      <w:r>
        <w:rPr>
          <w:b/>
        </w:rPr>
        <w:t xml:space="preserve">Research Question 2.</w:t>
      </w:r>
      <w:r>
        <w:t xml:space="preserve"> </w:t>
      </w:r>
      <w:r>
        <w:t xml:space="preserve">What are the primary drivers (e.g. watershed characteristics or conditions) for changes in NOM concentrations and character in the Leech watershed?</w:t>
      </w:r>
    </w:p>
    <w:p>
      <w:pPr>
        <w:pStyle w:val="BodyText"/>
      </w:pPr>
      <w:r>
        <w:rPr>
          <w:b/>
        </w:rPr>
        <w:t xml:space="preserve">Objective 2:</w:t>
      </w:r>
      <w:r>
        <w:t xml:space="preserve"> </w:t>
      </w:r>
      <w:r>
        <w:t xml:space="preserve">Relate water sample results to watershed characteristics and conditions to report on relationships between NOM and possible explanatory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GVWSA, and assesses the sampling program design. Chapter 4 focuses on six monitoring sites in the Leech WSA to evaluate research findings in context of watershed drivers for DOC and NOM dynamics. A comprehensive summary and discussion follows.</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River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and Chris Creek sub-basins; Weeks sub-basin (11.52 km</w:t>
      </w:r>
      <w:r>
        <w:rPr>
          <w:vertAlign w:val="superscript"/>
        </w:rPr>
        <w:t xml:space="preserve">2</w:t>
      </w:r>
      <w:r>
        <w:t xml:space="preserve">) encompassed Weeks Lake and surrounding wetlands (Jordan Meadows fen), and Chris crk sub-basin (5.8 km</w:t>
      </w:r>
      <w:r>
        <w:rPr>
          <w:vertAlign w:val="superscript"/>
        </w:rPr>
        <w:t xml:space="preserve">2</w:t>
      </w:r>
      <w:r>
        <w:t xml:space="preserve">) included smaller Worley Lake. Below the confluence of Weeks and Chris crk is the Leech-head site (20.59 km</w:t>
      </w:r>
      <w:r>
        <w:rPr>
          <w:vertAlign w:val="superscript"/>
        </w:rPr>
        <w:t xml:space="preserve">2</w:t>
      </w:r>
      <w:r>
        <w:t xml:space="preserve"> </w:t>
      </w:r>
      <w:r>
        <w:t xml:space="preserve">sub-basin), the head of Leech River.</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3</w:t>
      </w:r>
      <w:r>
        <w:t xml:space="preserve">). The predominant geological formation across the GVWSA was metamorphic parent material (wark gneiss). The wark formation was common to all twelve sampling sub-basins except for West 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WSA slope of 61</w:t>
      </w:r>
      <m:oMath>
        <m:sSup>
          <m:e>
            <m:r>
              <m:t>​</m:t>
            </m:r>
          </m:e>
          <m:sup>
            <m:r>
              <m:t>∘</m:t>
            </m:r>
          </m:sup>
        </m:sSup>
      </m:oMath>
      <w:r>
        <w:t xml:space="preserve">.</w:t>
      </w:r>
    </w:p>
    <w:p>
      <w:pPr>
        <w:pStyle w:val="BodyText"/>
      </w:pPr>
      <w:r>
        <w:t xml:space="preserve"> </w:t>
      </w:r>
    </w:p>
    <w:p>
      <w:pPr>
        <w:pStyle w:val="TableCaption"/>
      </w:pPr>
      <w:r>
        <w:t xml:space="preserve">Table 3: Watershed Characteristics of Twelve Synoptic Sampling Sites Across the Leech and Sooke Water Supply Areas (WSA), Greater Victoria, BC</w:t>
      </w:r>
    </w:p>
    <w:tbl>
      <w:tblPr>
        <w:tblStyle w:val="Table"/>
        <w:tblW w:type="pct" w:w="0.0"/>
        <w:tblLook w:firstRow="1"/>
        <w:tblCaption w:val="Table 3: Watershed Characteristics of Twelve Synoptic Sampling Sites Across the Leech and Sooke Water Supply Areas (WSA), Greater Victoria, BC"/>
      </w:tblPr>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Weeks crk</w:t>
            </w:r>
          </w:p>
        </w:tc>
        <w:tc>
          <w:tcPr>
            <w:tcBorders>
              <w:bottom w:val="single"/>
            </w:tcBorders>
            <w:vAlign w:val="bottom"/>
          </w:tcPr>
          <w:p>
            <w:pPr>
              <w:pStyle w:val="Compact"/>
              <w:jc w:val="left"/>
            </w:pPr>
            <w:r>
              <w:t xml:space="preserve">Chris crk</w:t>
            </w:r>
          </w:p>
        </w:tc>
        <w:tc>
          <w:tcPr>
            <w:tcBorders>
              <w:bottom w:val="single"/>
            </w:tcBorders>
            <w:vAlign w:val="bottom"/>
          </w:tcPr>
          <w:p>
            <w:pPr>
              <w:pStyle w:val="Compact"/>
              <w:jc w:val="left"/>
            </w:pPr>
            <w:r>
              <w:t xml:space="preserve">Leech head</w:t>
            </w:r>
          </w:p>
        </w:tc>
        <w:tc>
          <w:tcPr>
            <w:tcBorders>
              <w:bottom w:val="single"/>
            </w:tcBorders>
            <w:vAlign w:val="bottom"/>
          </w:tcPr>
          <w:p>
            <w:pPr>
              <w:pStyle w:val="Compact"/>
              <w:jc w:val="left"/>
            </w:pPr>
            <w:r>
              <w:t xml:space="preserve">Cragg crk</w:t>
            </w:r>
          </w:p>
        </w:tc>
        <w:tc>
          <w:tcPr>
            <w:tcBorders>
              <w:bottom w:val="single"/>
            </w:tcBorders>
            <w:vAlign w:val="bottom"/>
          </w:tcPr>
          <w:p>
            <w:pPr>
              <w:pStyle w:val="Compact"/>
              <w:jc w:val="left"/>
            </w:pPr>
            <w:r>
              <w:t xml:space="preserve">West Leech</w:t>
            </w:r>
          </w:p>
        </w:tc>
        <w:tc>
          <w:tcPr>
            <w:tcBorders>
              <w:bottom w:val="single"/>
            </w:tcBorders>
            <w:vAlign w:val="bottom"/>
          </w:tcPr>
          <w:p>
            <w:pPr>
              <w:pStyle w:val="Compact"/>
              <w:jc w:val="left"/>
            </w:pPr>
            <w:r>
              <w:t xml:space="preserve">Leech Tunnel</w:t>
            </w:r>
          </w:p>
        </w:tc>
        <w:tc>
          <w:tcPr>
            <w:tcBorders>
              <w:bottom w:val="single"/>
            </w:tcBorders>
            <w:vAlign w:val="bottom"/>
          </w:tcPr>
          <w:p>
            <w:pPr>
              <w:pStyle w:val="Compact"/>
              <w:jc w:val="left"/>
            </w:pPr>
            <w:r>
              <w:t xml:space="preserve">Judge crk</w:t>
            </w:r>
          </w:p>
        </w:tc>
        <w:tc>
          <w:tcPr>
            <w:tcBorders>
              <w:bottom w:val="single"/>
            </w:tcBorders>
            <w:vAlign w:val="bottom"/>
          </w:tcPr>
          <w:p>
            <w:pPr>
              <w:pStyle w:val="Compact"/>
              <w:jc w:val="left"/>
            </w:pPr>
            <w:r>
              <w:t xml:space="preserve">Rithet crk</w:t>
            </w:r>
          </w:p>
        </w:tc>
        <w:tc>
          <w:tcPr>
            <w:tcBorders>
              <w:bottom w:val="single"/>
            </w:tcBorders>
            <w:vAlign w:val="bottom"/>
          </w:tcPr>
          <w:p>
            <w:pPr>
              <w:pStyle w:val="Compact"/>
              <w:jc w:val="left"/>
            </w:pPr>
            <w:r>
              <w:t xml:space="preserve">Deception (gulch)</w:t>
            </w:r>
          </w:p>
        </w:tc>
        <w:tc>
          <w:tcPr>
            <w:tcBorders>
              <w:bottom w:val="single"/>
            </w:tcBorders>
            <w:vAlign w:val="bottom"/>
          </w:tcPr>
          <w:p>
            <w:pPr>
              <w:pStyle w:val="Compact"/>
              <w:jc w:val="left"/>
            </w:pPr>
            <w:r>
              <w:t xml:space="preserve">Jarvis crk</w:t>
            </w:r>
          </w:p>
        </w:tc>
        <w:tc>
          <w:tcPr>
            <w:tcBorders>
              <w:bottom w:val="single"/>
            </w:tcBorders>
            <w:vAlign w:val="bottom"/>
          </w:tcPr>
          <w:p>
            <w:pPr>
              <w:pStyle w:val="Compact"/>
              <w:jc w:val="left"/>
            </w:pPr>
            <w:r>
              <w:t xml:space="preserve">Lazar crk</w:t>
            </w:r>
          </w:p>
        </w:tc>
        <w:tc>
          <w:tcPr>
            <w:tcBorders>
              <w:bottom w:val="single"/>
            </w:tcBorders>
            <w:vAlign w:val="bottom"/>
          </w:tcPr>
          <w:p>
            <w:pPr>
              <w:pStyle w:val="Compact"/>
              <w:jc w:val="left"/>
            </w:pPr>
            <w:r>
              <w:t xml:space="preserve">Leech beach</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c>
          <w:p>
            <w:pPr>
              <w:pStyle w:val="Compact"/>
              <w:jc w:val="left"/>
            </w:pPr>
            <w:r>
              <w:t xml:space="preserve">48.58569</w:t>
            </w:r>
          </w:p>
        </w:tc>
        <w:tc>
          <w:p>
            <w:pPr>
              <w:pStyle w:val="Compact"/>
              <w:jc w:val="left"/>
            </w:pPr>
            <w:r>
              <w:t xml:space="preserve">48.59123</w:t>
            </w:r>
          </w:p>
        </w:tc>
        <w:tc>
          <w:p>
            <w:pPr>
              <w:pStyle w:val="Compact"/>
              <w:jc w:val="left"/>
            </w:pPr>
            <w:r>
              <w:t xml:space="preserve">48.51694</w:t>
            </w:r>
          </w:p>
        </w:tc>
        <w:tc>
          <w:p>
            <w:pPr>
              <w:pStyle w:val="Compact"/>
              <w:jc w:val="left"/>
            </w:pPr>
            <w:r>
              <w:t xml:space="preserve">48.59677</w:t>
            </w:r>
          </w:p>
        </w:tc>
        <w:tc>
          <w:p>
            <w:pPr>
              <w:pStyle w:val="Compact"/>
              <w:jc w:val="left"/>
            </w:pPr>
            <w:r>
              <w:t xml:space="preserve">48.59179</w:t>
            </w:r>
          </w:p>
        </w:tc>
        <w:tc>
          <w:p>
            <w:pPr>
              <w:pStyle w:val="Compact"/>
              <w:jc w:val="left"/>
            </w:pPr>
            <w:r>
              <w:t xml:space="preserve">48.50678</w:t>
            </w:r>
          </w:p>
        </w:tc>
      </w:tr>
      <w:tr>
        <w:tc>
          <w:p>
            <w:pPr>
              <w:pStyle w:val="Compact"/>
              <w:jc w:val="left"/>
            </w:pPr>
            <w:r>
              <w:t xml:space="preserve">Longitude</w:t>
            </w:r>
          </w:p>
        </w:tc>
        <w:tc>
          <w:p>
            <w:pPr>
              <w:pStyle w:val="Compact"/>
              <w:jc w:val="left"/>
            </w:pPr>
            <w:r>
              <w:t xml:space="preserve">-123.844</w:t>
            </w:r>
          </w:p>
        </w:tc>
        <w:tc>
          <w:p>
            <w:pPr>
              <w:pStyle w:val="Compact"/>
              <w:jc w:val="left"/>
            </w:pPr>
            <w:r>
              <w:t xml:space="preserve">-123.84</w:t>
            </w:r>
          </w:p>
        </w:tc>
        <w:tc>
          <w:p>
            <w:pPr>
              <w:pStyle w:val="Compact"/>
              <w:jc w:val="left"/>
            </w:pPr>
            <w:r>
              <w:t xml:space="preserve">-123.8257</w:t>
            </w:r>
          </w:p>
        </w:tc>
        <w:tc>
          <w:p>
            <w:pPr>
              <w:pStyle w:val="Compact"/>
              <w:jc w:val="left"/>
            </w:pPr>
            <w:r>
              <w:t xml:space="preserve">-123.7714</w:t>
            </w:r>
          </w:p>
        </w:tc>
        <w:tc>
          <w:p>
            <w:pPr>
              <w:pStyle w:val="Compact"/>
              <w:jc w:val="left"/>
            </w:pPr>
            <w:r>
              <w:t xml:space="preserve">-123.7862</w:t>
            </w:r>
          </w:p>
        </w:tc>
        <w:tc>
          <w:p>
            <w:pPr>
              <w:pStyle w:val="Compact"/>
              <w:jc w:val="left"/>
            </w:pPr>
            <w:r>
              <w:t xml:space="preserve">-123.768</w:t>
            </w:r>
          </w:p>
        </w:tc>
        <w:tc>
          <w:p>
            <w:pPr>
              <w:pStyle w:val="Compact"/>
              <w:jc w:val="left"/>
            </w:pPr>
            <w:r>
              <w:t xml:space="preserve">-123.6735</w:t>
            </w:r>
          </w:p>
        </w:tc>
        <w:tc>
          <w:p>
            <w:pPr>
              <w:pStyle w:val="Compact"/>
              <w:jc w:val="left"/>
            </w:pPr>
            <w:r>
              <w:t xml:space="preserve">-123.725</w:t>
            </w:r>
          </w:p>
        </w:tc>
        <w:tc>
          <w:p>
            <w:pPr>
              <w:pStyle w:val="Compact"/>
              <w:jc w:val="left"/>
            </w:pPr>
            <w:r>
              <w:t xml:space="preserve">-123.7204</w:t>
            </w:r>
          </w:p>
        </w:tc>
        <w:tc>
          <w:p>
            <w:pPr>
              <w:pStyle w:val="Compact"/>
              <w:jc w:val="left"/>
            </w:pPr>
            <w:r>
              <w:t xml:space="preserve">-123.7981</w:t>
            </w:r>
          </w:p>
        </w:tc>
        <w:tc>
          <w:p>
            <w:pPr>
              <w:pStyle w:val="Compact"/>
              <w:jc w:val="left"/>
            </w:pPr>
            <w:r>
              <w:t xml:space="preserve">-123.77</w:t>
            </w:r>
          </w:p>
        </w:tc>
        <w:tc>
          <w:p>
            <w:pPr>
              <w:pStyle w:val="Compact"/>
              <w:jc w:val="left"/>
            </w:pPr>
            <w:r>
              <w:t xml:space="preserve">-123.7818</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c>
          <w:p>
            <w:pPr>
              <w:pStyle w:val="Compact"/>
              <w:jc w:val="left"/>
            </w:pPr>
            <w:r>
              <w:t xml:space="preserve">3</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11.52</w:t>
            </w:r>
          </w:p>
        </w:tc>
        <w:tc>
          <w:p>
            <w:pPr>
              <w:pStyle w:val="Compact"/>
              <w:jc w:val="left"/>
            </w:pPr>
            <w:r>
              <w:t xml:space="preserve">5.9</w:t>
            </w:r>
          </w:p>
        </w:tc>
        <w:tc>
          <w:p>
            <w:pPr>
              <w:pStyle w:val="Compact"/>
              <w:jc w:val="left"/>
            </w:pPr>
            <w:r>
              <w:t xml:space="preserve">20.59</w:t>
            </w:r>
          </w:p>
        </w:tc>
        <w:tc>
          <w:p>
            <w:pPr>
              <w:pStyle w:val="Compact"/>
              <w:jc w:val="left"/>
            </w:pPr>
            <w:r>
              <w:t xml:space="preserve">28.06</w:t>
            </w:r>
          </w:p>
        </w:tc>
        <w:tc>
          <w:p>
            <w:pPr>
              <w:pStyle w:val="Compact"/>
              <w:jc w:val="left"/>
            </w:pPr>
            <w:r>
              <w:t xml:space="preserve">20.85</w:t>
            </w:r>
          </w:p>
        </w:tc>
        <w:tc>
          <w:p>
            <w:pPr>
              <w:pStyle w:val="Compact"/>
              <w:jc w:val="left"/>
            </w:pPr>
            <w:r>
              <w:t xml:space="preserve">95.3</w:t>
            </w:r>
          </w:p>
        </w:tc>
        <w:tc>
          <w:p>
            <w:pPr>
              <w:pStyle w:val="Compact"/>
              <w:jc w:val="left"/>
            </w:pPr>
            <w:r>
              <w:t xml:space="preserve">8.33</w:t>
            </w:r>
          </w:p>
        </w:tc>
        <w:tc>
          <w:p>
            <w:pPr>
              <w:pStyle w:val="Compact"/>
              <w:jc w:val="left"/>
            </w:pPr>
            <w:r>
              <w:t xml:space="preserve">11.12</w:t>
            </w:r>
          </w:p>
        </w:tc>
        <w:tc>
          <w:p>
            <w:pPr>
              <w:pStyle w:val="Compact"/>
              <w:jc w:val="left"/>
            </w:pPr>
            <w:r>
              <w:t xml:space="preserve">4.02</w:t>
            </w:r>
          </w:p>
        </w:tc>
        <w:tc>
          <w:p>
            <w:pPr>
              <w:pStyle w:val="Compact"/>
              <w:jc w:val="left"/>
            </w:pPr>
            <w:r>
              <w:t xml:space="preserve">1.51</w:t>
            </w:r>
          </w:p>
        </w:tc>
        <w:tc>
          <w:p>
            <w:pPr>
              <w:pStyle w:val="Compact"/>
              <w:jc w:val="left"/>
            </w:pPr>
            <w:r>
              <w:t xml:space="preserve">4.74</w:t>
            </w:r>
          </w:p>
        </w:tc>
        <w:tc>
          <w:p>
            <w:pPr>
              <w:pStyle w:val="Compact"/>
              <w:jc w:val="left"/>
            </w:pPr>
            <w:r>
              <w:t xml:space="preserve">94.09</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c>
          <w:p>
            <w:pPr>
              <w:pStyle w:val="Compact"/>
              <w:jc w:val="left"/>
            </w:pPr>
            <w:r>
              <w:t xml:space="preserve">200</w:t>
            </w:r>
          </w:p>
        </w:tc>
        <w:tc>
          <w:p>
            <w:pPr>
              <w:pStyle w:val="Compact"/>
              <w:jc w:val="left"/>
            </w:pPr>
            <w:r>
              <w:t xml:space="preserve">252</w:t>
            </w:r>
          </w:p>
        </w:tc>
        <w:tc>
          <w:p>
            <w:pPr>
              <w:pStyle w:val="Compact"/>
              <w:jc w:val="left"/>
            </w:pPr>
            <w:r>
              <w:t xml:space="preserve">195</w:t>
            </w:r>
          </w:p>
        </w:tc>
        <w:tc>
          <w:p>
            <w:pPr>
              <w:pStyle w:val="Compact"/>
              <w:jc w:val="left"/>
            </w:pPr>
            <w:r>
              <w:t xml:space="preserve">742</w:t>
            </w:r>
          </w:p>
        </w:tc>
        <w:tc>
          <w:p>
            <w:pPr>
              <w:pStyle w:val="Compact"/>
              <w:jc w:val="left"/>
            </w:pPr>
            <w:r>
              <w:t xml:space="preserve">651</w:t>
            </w:r>
          </w:p>
        </w:tc>
        <w:tc>
          <w:p>
            <w:pPr>
              <w:pStyle w:val="Compact"/>
              <w:jc w:val="left"/>
            </w:pPr>
            <w:r>
              <w:t xml:space="preserve">237</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c>
          <w:p>
            <w:pPr>
              <w:pStyle w:val="Compact"/>
              <w:jc w:val="left"/>
            </w:pPr>
            <w:r>
              <w:t xml:space="preserve">9</w:t>
            </w:r>
          </w:p>
        </w:tc>
        <w:tc>
          <w:p>
            <w:pPr>
              <w:pStyle w:val="Compact"/>
              <w:jc w:val="left"/>
            </w:pPr>
            <w:r>
              <w:t xml:space="preserve">11</w:t>
            </w:r>
          </w:p>
        </w:tc>
        <w:tc>
          <w:p>
            <w:pPr>
              <w:pStyle w:val="Compact"/>
              <w:jc w:val="left"/>
            </w:pPr>
            <w:r>
              <w:t xml:space="preserve">13</w:t>
            </w:r>
          </w:p>
        </w:tc>
        <w:tc>
          <w:p>
            <w:pPr>
              <w:pStyle w:val="Compact"/>
              <w:jc w:val="left"/>
            </w:pPr>
            <w:r>
              <w:t xml:space="preserve">5</w:t>
            </w:r>
          </w:p>
        </w:tc>
        <w:tc>
          <w:p>
            <w:pPr>
              <w:pStyle w:val="Compact"/>
              <w:jc w:val="left"/>
            </w:pPr>
            <w:r>
              <w:t xml:space="preserve">6</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c>
          <w:p>
            <w:pPr>
              <w:pStyle w:val="Compact"/>
              <w:jc w:val="left"/>
            </w:pPr>
            <w:r>
              <w:t xml:space="preserve">42</w:t>
            </w:r>
          </w:p>
        </w:tc>
        <w:tc>
          <w:p>
            <w:pPr>
              <w:pStyle w:val="Compact"/>
              <w:jc w:val="left"/>
            </w:pPr>
            <w:r>
              <w:t xml:space="preserve">48</w:t>
            </w:r>
          </w:p>
        </w:tc>
        <w:tc>
          <w:p>
            <w:pPr>
              <w:pStyle w:val="Compact"/>
              <w:jc w:val="left"/>
            </w:pPr>
            <w:r>
              <w:t xml:space="preserve">49</w:t>
            </w:r>
          </w:p>
        </w:tc>
        <w:tc>
          <w:p>
            <w:pPr>
              <w:pStyle w:val="Compact"/>
              <w:jc w:val="left"/>
            </w:pPr>
            <w:r>
              <w:t xml:space="preserve">21</w:t>
            </w:r>
          </w:p>
        </w:tc>
        <w:tc>
          <w:p>
            <w:pPr>
              <w:pStyle w:val="Compact"/>
              <w:jc w:val="left"/>
            </w:pPr>
            <w:r>
              <w:t xml:space="preserve">29</w:t>
            </w:r>
          </w:p>
        </w:tc>
        <w:tc>
          <w:p>
            <w:pPr>
              <w:pStyle w:val="Compact"/>
              <w:jc w:val="left"/>
            </w:pPr>
            <w:r>
              <w:t xml:space="preserve">61</w:t>
            </w:r>
          </w:p>
        </w:tc>
      </w:tr>
      <w:tr>
        <w:tc>
          <w:p>
            <w:pPr>
              <w:pStyle w:val="Compact"/>
              <w:jc w:val="left"/>
            </w:pPr>
            <w:r>
              <w:t xml:space="preserve">Tree age (average, yrs)</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c>
          <w:p>
            <w:pPr>
              <w:pStyle w:val="Compact"/>
              <w:jc w:val="left"/>
            </w:pPr>
            <w:r>
              <w:t xml:space="preserve">72</w:t>
            </w:r>
          </w:p>
        </w:tc>
        <w:tc>
          <w:p>
            <w:pPr>
              <w:pStyle w:val="Compact"/>
              <w:jc w:val="left"/>
            </w:pPr>
            <w:r>
              <w:t xml:space="preserve">132</w:t>
            </w:r>
          </w:p>
        </w:tc>
        <w:tc>
          <w:p>
            <w:pPr>
              <w:pStyle w:val="Compact"/>
              <w:jc w:val="left"/>
            </w:pPr>
            <w:r>
              <w:t xml:space="preserve">71</w:t>
            </w:r>
          </w:p>
        </w:tc>
        <w:tc>
          <w:p>
            <w:pPr>
              <w:pStyle w:val="Compact"/>
              <w:jc w:val="left"/>
            </w:pPr>
            <w:r>
              <w:t xml:space="preserve">37</w:t>
            </w:r>
          </w:p>
        </w:tc>
        <w:tc>
          <w:p>
            <w:pPr>
              <w:pStyle w:val="Compact"/>
              <w:jc w:val="left"/>
            </w:pPr>
            <w:r>
              <w:t xml:space="preserve">41</w:t>
            </w:r>
          </w:p>
        </w:tc>
        <w:tc>
          <w:p>
            <w:pPr>
              <w:pStyle w:val="Compact"/>
              <w:jc w:val="left"/>
            </w:pPr>
            <w:r>
              <w:t xml:space="preserve">53</w:t>
            </w:r>
          </w:p>
        </w:tc>
      </w:tr>
      <w:tr>
        <w:tc>
          <w:p>
            <w:pPr>
              <w:pStyle w:val="Compact"/>
              <w:jc w:val="left"/>
            </w:pPr>
            <w:r>
              <w:t xml:space="preserve">Forest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c>
          <w:p>
            <w:pPr>
              <w:pStyle w:val="Compact"/>
              <w:jc w:val="left"/>
            </w:pPr>
            <w:r>
              <w:t xml:space="preserve">92.7</w:t>
            </w:r>
          </w:p>
        </w:tc>
        <w:tc>
          <w:p>
            <w:pPr>
              <w:pStyle w:val="Compact"/>
              <w:jc w:val="left"/>
            </w:pPr>
            <w:r>
              <w:t xml:space="preserve">99.4</w:t>
            </w:r>
          </w:p>
        </w:tc>
        <w:tc>
          <w:p>
            <w:pPr>
              <w:pStyle w:val="Compact"/>
              <w:jc w:val="left"/>
            </w:pPr>
            <w:r>
              <w:t xml:space="preserve">87.7</w:t>
            </w:r>
          </w:p>
        </w:tc>
        <w:tc>
          <w:p>
            <w:pPr>
              <w:pStyle w:val="Compact"/>
              <w:jc w:val="left"/>
            </w:pPr>
            <w:r>
              <w:t xml:space="preserve">93</w:t>
            </w:r>
          </w:p>
        </w:tc>
        <w:tc>
          <w:p>
            <w:pPr>
              <w:pStyle w:val="Compact"/>
              <w:jc w:val="left"/>
            </w:pPr>
            <w:r>
              <w:t xml:space="preserve">84</w:t>
            </w:r>
          </w:p>
        </w:tc>
        <w:tc>
          <w:p>
            <w:pPr>
              <w:pStyle w:val="Compact"/>
              <w:jc w:val="left"/>
            </w:pPr>
            <w:r>
              <w:t xml:space="preserve">96</w:t>
            </w:r>
          </w:p>
        </w:tc>
      </w:tr>
      <w:tr>
        <w:tc>
          <w:p>
            <w:pPr>
              <w:pStyle w:val="Compact"/>
              <w:jc w:val="left"/>
            </w:pPr>
            <w:r>
              <w:t xml:space="preserve">Wetland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c>
          <w:p>
            <w:pPr>
              <w:pStyle w:val="Compact"/>
              <w:jc w:val="left"/>
            </w:pPr>
            <w:r>
              <w:t xml:space="preserve">1.1</w:t>
            </w:r>
          </w:p>
        </w:tc>
        <w:tc>
          <w:p>
            <w:pPr>
              <w:pStyle w:val="Compact"/>
              <w:jc w:val="left"/>
            </w:pPr>
            <w:r>
              <w:t xml:space="preserve">0.5</w:t>
            </w:r>
          </w:p>
        </w:tc>
        <w:tc>
          <w:p>
            <w:pPr>
              <w:pStyle w:val="Compact"/>
              <w:jc w:val="left"/>
            </w:pPr>
            <w:r>
              <w:t xml:space="preserve">9.3</w:t>
            </w:r>
          </w:p>
        </w:tc>
        <w:tc>
          <w:p>
            <w:pPr>
              <w:pStyle w:val="Compact"/>
              <w:jc w:val="left"/>
            </w:pPr>
            <w:r>
              <w:t xml:space="preserve">4</w:t>
            </w:r>
          </w:p>
        </w:tc>
        <w:tc>
          <w:p>
            <w:pPr>
              <w:pStyle w:val="Compact"/>
              <w:jc w:val="left"/>
            </w:pPr>
            <w:r>
              <w:t xml:space="preserve">12</w:t>
            </w:r>
          </w:p>
        </w:tc>
        <w:tc>
          <w:p>
            <w:pPr>
              <w:pStyle w:val="Compact"/>
              <w:jc w:val="left"/>
            </w:pPr>
            <w:r>
              <w:t xml:space="preserve">1.1</w:t>
            </w:r>
          </w:p>
        </w:tc>
      </w:tr>
      <w:tr>
        <w:tc>
          <w:p>
            <w:pPr>
              <w:pStyle w:val="Compact"/>
              <w:jc w:val="left"/>
            </w:pPr>
            <w:r>
              <w:t xml:space="preserve">Open water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0.000002</w:t>
            </w:r>
          </w:p>
        </w:tc>
        <w:tc>
          <w:p>
            <w:pPr>
              <w:pStyle w:val="Compact"/>
              <w:jc w:val="left"/>
            </w:pPr>
            <w:r>
              <w:t xml:space="preserve">0.07</w:t>
            </w:r>
          </w:p>
        </w:tc>
        <w:tc>
          <w:p>
            <w:pPr>
              <w:pStyle w:val="Compact"/>
              <w:jc w:val="left"/>
            </w:pPr>
            <w:r>
              <w:t xml:space="preserve">0.02</w:t>
            </w:r>
          </w:p>
        </w:tc>
      </w:tr>
      <w:tr>
        <w:tc>
          <w:p>
            <w:pPr>
              <w:pStyle w:val="Compact"/>
              <w:jc w:val="left"/>
            </w:pPr>
            <w:r>
              <w:t xml:space="preserve">Dominant parent material (by area)</w:t>
            </w:r>
          </w:p>
        </w:tc>
        <w:tc>
          <w:p>
            <w:pPr>
              <w:pStyle w:val="Compact"/>
              <w:jc w:val="left"/>
            </w:pPr>
            <w:r>
              <w:t xml:space="preserve">Argillite metagreywacke (64.2 %)</w:t>
            </w:r>
          </w:p>
        </w:tc>
        <w:tc>
          <w:p>
            <w:pPr>
              <w:pStyle w:val="Compact"/>
              <w:jc w:val="left"/>
            </w:pPr>
            <w:r>
              <w:t xml:space="preserve">Chert argillite volcanic (55.1 %)</w:t>
            </w:r>
          </w:p>
        </w:tc>
        <w:tc>
          <w:p>
            <w:pPr>
              <w:pStyle w:val="Compact"/>
              <w:jc w:val="left"/>
            </w:pPr>
            <w:r>
              <w:t xml:space="preserve">Argillite metagreywacke (42.1 %)</w:t>
            </w:r>
          </w:p>
        </w:tc>
        <w:tc>
          <w:p>
            <w:pPr>
              <w:pStyle w:val="Compact"/>
              <w:jc w:val="left"/>
            </w:pPr>
            <w:r>
              <w:t xml:space="preserve">Wark gneiss (77.6 %)</w:t>
            </w:r>
          </w:p>
        </w:tc>
        <w:tc>
          <w:p>
            <w:pPr>
              <w:pStyle w:val="Compact"/>
              <w:jc w:val="left"/>
            </w:pPr>
            <w:r>
              <w:t xml:space="preserve">Argillite metagreywacke (76.8 %)</w:t>
            </w:r>
          </w:p>
        </w:tc>
        <w:tc>
          <w:p>
            <w:pPr>
              <w:pStyle w:val="Compact"/>
              <w:jc w:val="left"/>
            </w:pPr>
            <w:r>
              <w:t xml:space="preserve">Argillite metagreywacke (45.1 %)</w:t>
            </w:r>
          </w:p>
        </w:tc>
        <w:tc>
          <w:p>
            <w:pPr>
              <w:pStyle w:val="Compact"/>
              <w:jc w:val="left"/>
            </w:pPr>
            <w:r>
              <w:t xml:space="preserve">Colquitz gneiss (72.4 %)</w:t>
            </w:r>
          </w:p>
        </w:tc>
        <w:tc>
          <w:p>
            <w:pPr>
              <w:pStyle w:val="Compact"/>
              <w:jc w:val="left"/>
            </w:pPr>
            <w:r>
              <w:t xml:space="preserve">Wark gneiss (79.2 %)</w:t>
            </w:r>
          </w:p>
        </w:tc>
        <w:tc>
          <w:p>
            <w:pPr>
              <w:pStyle w:val="Compact"/>
              <w:jc w:val="left"/>
            </w:pPr>
            <w:r>
              <w:t xml:space="preserve">Wark gneiss (61.2 %)</w:t>
            </w:r>
          </w:p>
        </w:tc>
        <w:tc>
          <w:p>
            <w:pPr>
              <w:pStyle w:val="Compact"/>
              <w:jc w:val="left"/>
            </w:pPr>
            <w:r>
              <w:t xml:space="preserve">Wark gneiss (100 %)</w:t>
            </w:r>
          </w:p>
        </w:tc>
        <w:tc>
          <w:p>
            <w:pPr>
              <w:pStyle w:val="Compact"/>
              <w:jc w:val="left"/>
            </w:pPr>
            <w:r>
              <w:t xml:space="preserve">Wark gneiss (100 %)</w:t>
            </w:r>
          </w:p>
        </w:tc>
        <w:tc>
          <w:p>
            <w:pPr>
              <w:pStyle w:val="Compact"/>
              <w:jc w:val="left"/>
            </w:pPr>
            <w:r>
              <w:t xml:space="preserve">Argillite metagreywacke (45.1 %)</w:t>
            </w:r>
          </w:p>
        </w:tc>
      </w:tr>
      <w:tr>
        <w:tc>
          <w:p>
            <w:pPr>
              <w:pStyle w:val="Compact"/>
              <w:jc w:val="left"/>
            </w:pPr>
            <w:r>
              <w:t xml:space="preserve">Secondary parent material (by area)</w:t>
            </w:r>
          </w:p>
        </w:tc>
        <w:tc>
          <w:p>
            <w:pPr>
              <w:pStyle w:val="Compact"/>
              <w:jc w:val="left"/>
            </w:pPr>
            <w:r>
              <w:t xml:space="preserve">Chert argillite volcanic (22.2 %)</w:t>
            </w:r>
          </w:p>
        </w:tc>
        <w:tc>
          <w:p>
            <w:pPr>
              <w:pStyle w:val="Compact"/>
              <w:jc w:val="left"/>
            </w:pPr>
            <w:r>
              <w:t xml:space="preserve">Wark gneiss (44.9 %)</w:t>
            </w:r>
          </w:p>
        </w:tc>
        <w:tc>
          <w:p>
            <w:pPr>
              <w:pStyle w:val="Compact"/>
              <w:jc w:val="left"/>
            </w:pPr>
            <w:r>
              <w:t xml:space="preserve">Chert argillite volcanic (37.4 %)</w:t>
            </w:r>
          </w:p>
        </w:tc>
        <w:tc>
          <w:p>
            <w:pPr>
              <w:pStyle w:val="Compact"/>
              <w:jc w:val="left"/>
            </w:pPr>
            <w:r>
              <w:t xml:space="preserve">Chert argillite volcanic (22.4 %)</w:t>
            </w:r>
          </w:p>
        </w:tc>
        <w:tc>
          <w:p>
            <w:pPr>
              <w:pStyle w:val="Compact"/>
              <w:jc w:val="left"/>
            </w:pPr>
            <w:r>
              <w:t xml:space="preserve">Metchosin volcanics (16 %)</w:t>
            </w:r>
          </w:p>
        </w:tc>
        <w:tc>
          <w:p>
            <w:pPr>
              <w:pStyle w:val="Compact"/>
              <w:jc w:val="left"/>
            </w:pPr>
            <w:r>
              <w:t xml:space="preserve">Wark gneiss (30.6 %)</w:t>
            </w:r>
          </w:p>
        </w:tc>
        <w:tc>
          <w:p>
            <w:pPr>
              <w:pStyle w:val="Compact"/>
              <w:jc w:val="left"/>
            </w:pPr>
            <w:r>
              <w:t xml:space="preserve">Wark gneiss (27 %)</w:t>
            </w:r>
          </w:p>
        </w:tc>
        <w:tc>
          <w:p>
            <w:pPr>
              <w:pStyle w:val="Compact"/>
              <w:jc w:val="left"/>
            </w:pPr>
            <w:r>
              <w:t xml:space="preserve">Colquitz gneiss (20.3 %)</w:t>
            </w:r>
          </w:p>
        </w:tc>
        <w:tc>
          <w:p>
            <w:pPr>
              <w:pStyle w:val="Compact"/>
              <w:jc w:val="left"/>
            </w:pPr>
            <w:r>
              <w:t xml:space="preserve">Argillite metagreywacke (38.8 %)</w:t>
            </w:r>
          </w:p>
        </w:tc>
        <w:tc>
          <w:p>
            <w:pPr>
              <w:pStyle w:val="Compact"/>
              <w:jc w:val="left"/>
            </w:pPr>
            <w:r>
              <w:t xml:space="preserve">-</w:t>
            </w:r>
          </w:p>
        </w:tc>
        <w:tc>
          <w:p>
            <w:pPr>
              <w:pStyle w:val="Compact"/>
              <w:jc w:val="left"/>
            </w:pPr>
            <w:r>
              <w:t xml:space="preserve">-</w:t>
            </w:r>
          </w:p>
        </w:tc>
        <w:tc>
          <w:p>
            <w:pPr>
              <w:pStyle w:val="Compact"/>
              <w:jc w:val="left"/>
            </w:pPr>
            <w:r>
              <w:t xml:space="preserve">Wark gneiss (31 %)</w:t>
            </w:r>
          </w:p>
        </w:tc>
      </w:tr>
      <w:tr>
        <w:tc>
          <w:p>
            <w:pPr>
              <w:pStyle w:val="Compact"/>
              <w:jc w:val="left"/>
            </w:pPr>
            <w:r>
              <w:t xml:space="preserve">Tertiary parent material (by area)</w:t>
            </w:r>
          </w:p>
        </w:tc>
        <w:tc>
          <w:p>
            <w:pPr>
              <w:pStyle w:val="Compact"/>
              <w:jc w:val="left"/>
            </w:pPr>
            <w:r>
              <w:t xml:space="preserve">Wark gneiss (13.6 %)</w:t>
            </w:r>
          </w:p>
        </w:tc>
        <w:tc>
          <w:p>
            <w:pPr>
              <w:pStyle w:val="Compact"/>
              <w:jc w:val="left"/>
            </w:pPr>
            <w:r>
              <w:t xml:space="preserve">-</w:t>
            </w:r>
          </w:p>
        </w:tc>
        <w:tc>
          <w:p>
            <w:pPr>
              <w:pStyle w:val="Compact"/>
              <w:jc w:val="left"/>
            </w:pPr>
            <w:r>
              <w:t xml:space="preserve">Wark gneiss (20.5 %)</w:t>
            </w:r>
          </w:p>
        </w:tc>
        <w:tc>
          <w:p>
            <w:pPr>
              <w:pStyle w:val="Compact"/>
              <w:jc w:val="left"/>
            </w:pPr>
            <w:r>
              <w:t xml:space="preserve">-</w:t>
            </w:r>
          </w:p>
        </w:tc>
        <w:tc>
          <w:p>
            <w:pPr>
              <w:pStyle w:val="Compact"/>
              <w:jc w:val="left"/>
            </w:pPr>
            <w:r>
              <w:t xml:space="preserve">Metagreywacke (7.2 %)</w:t>
            </w:r>
          </w:p>
        </w:tc>
        <w:tc>
          <w:p>
            <w:pPr>
              <w:pStyle w:val="Compact"/>
              <w:jc w:val="left"/>
            </w:pPr>
            <w:r>
              <w:t xml:space="preserve">Chert argillite volcanic (17.9 %)</w:t>
            </w:r>
          </w:p>
        </w:tc>
        <w:tc>
          <w:p>
            <w:pPr>
              <w:pStyle w:val="Compact"/>
              <w:jc w:val="left"/>
            </w:pPr>
            <w:r>
              <w:t xml:space="preserve">Limestone (0.6 %)</w:t>
            </w:r>
          </w:p>
        </w:tc>
        <w:tc>
          <w:p>
            <w:pPr>
              <w:pStyle w:val="Compact"/>
              <w:jc w:val="left"/>
            </w:pPr>
            <w:r>
              <w:t xml:space="preserve">Limestone (0.4 %)</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Chert argillite volcanic (18.1 %)</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pPr>
        <w:pStyle w:val="BodyText"/>
      </w:pPr>
      <w:r>
        <w:t xml:space="preserve"> </w:t>
      </w:r>
    </w:p>
    <w:p>
      <w:pPr>
        <w:pStyle w:val="BodyText"/>
      </w:pPr>
      <w:r>
        <w:t xml:space="preserve">Samples were manually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pPr>
        <w:pStyle w:val="BodyText"/>
      </w:pPr>
      <w:r>
        <w:t xml:space="preserve"> </w:t>
      </w:r>
    </w:p>
    <w:p>
      <w:pPr>
        <w:pStyle w:val="BodyText"/>
      </w:pPr>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w:t>
      </w:r>
    </w:p>
    <w:p>
      <w:pPr>
        <w:pStyle w:val="BodyText"/>
      </w:pPr>
      <w:r>
        <w:t xml:space="preserve"> </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w:t>
      </w:r>
      <m:oMath>
        <m:sSup>
          <m:e>
            <m:r>
              <m:t>​</m:t>
            </m:r>
          </m:e>
          <m:sup>
            <m:r>
              <m:t>∘</m:t>
            </m:r>
          </m:sup>
        </m:sSup>
      </m:oMath>
      <w:r>
        <w:t xml:space="preserve"> </w:t>
      </w:r>
      <w:r>
        <w:t xml:space="preserve">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Heading5"/>
      </w:pPr>
      <w:bookmarkStart w:id="44" w:name="siphon-sampler-assumptions"/>
      <w:r>
        <w:t xml:space="preserve">Siphon sampler assumptions</w:t>
      </w:r>
      <w:bookmarkEnd w:id="44"/>
    </w:p>
    <w:p>
      <w:pPr>
        <w:pStyle w:val="FirstParagraph"/>
      </w:pPr>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w:t>
      </w:r>
      <w:r>
        <w:t xml:space="preserve"> </w:t>
      </w:r>
      <w:r>
        <w:rPr>
          <w:i/>
        </w:rPr>
        <w:t xml:space="preserve">‘</w:t>
      </w:r>
      <w:r>
        <w:rPr>
          <w:i/>
        </w:rPr>
        <w:t xml:space="preserve">Foundational Results</w:t>
      </w:r>
      <w:r>
        <w:rPr>
          <w:i/>
        </w:rPr>
        <w:t xml:space="preserve">’</w:t>
      </w:r>
      <w:r>
        <w:t xml:space="preserve">).</w:t>
      </w:r>
    </w:p>
    <w:p>
      <w:pPr>
        <w:pStyle w:val="BodyText"/>
      </w:pPr>
      <w:r>
        <w:t xml:space="preserve"> </w:t>
      </w:r>
    </w:p>
    <w:p>
      <w:pPr>
        <w:pStyle w:val="Heading5"/>
      </w:pPr>
      <w:bookmarkStart w:id="45" w:name="sampling-rack-hold-time-experiments"/>
      <w:r>
        <w:t xml:space="preserve">Sampling rack hold-time experiments</w:t>
      </w:r>
      <w:bookmarkEnd w:id="45"/>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w:t>
      </w:r>
      <w:r>
        <w:rPr>
          <w:i/>
        </w:rPr>
        <w:t xml:space="preserve">n</w:t>
      </w:r>
      <w:r>
        <w:t xml:space="preserve"> </w:t>
      </w:r>
      <w:r>
        <w:t xml:space="preserve">=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w:t>
      </w:r>
      <w:r>
        <w:t xml:space="preserve"> </w:t>
      </w:r>
      <w:r>
        <w:rPr>
          <w:i/>
        </w:rPr>
        <w:t xml:space="preserve">‘</w:t>
      </w:r>
      <w:r>
        <w:rPr>
          <w:i/>
        </w:rPr>
        <w:t xml:space="preserve">Foundation Results</w:t>
      </w:r>
      <w:r>
        <w:rPr>
          <w:i/>
        </w:rPr>
        <w:t xml:space="preserve">’</w:t>
      </w:r>
      <w:r>
        <w:t xml:space="preserve">).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w:t>
      </w:r>
      <w:r>
        <w:t xml:space="preserve"> </w:t>
      </w:r>
      <w:r>
        <w:rPr>
          <w:i/>
          <w:b/>
        </w:rPr>
        <w:t xml:space="preserve">(Appendix ######)</w:t>
      </w:r>
      <w:r>
        <w:t xml:space="preserve">.</w:t>
      </w:r>
    </w:p>
    <w:p>
      <w:pPr>
        <w:pStyle w:val="BodyText"/>
      </w:pPr>
      <w:r>
        <w:t xml:space="preserve"> </w:t>
      </w:r>
    </w:p>
    <w:p>
      <w:pPr>
        <w:pStyle w:val="Heading3"/>
      </w:pPr>
      <w:bookmarkStart w:id="46" w:name="laboratory-analyses-of-water-samples"/>
      <w:r>
        <w:t xml:space="preserve">Laboratory analyses of water samples</w:t>
      </w:r>
      <w:bookmarkEnd w:id="46"/>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7" w:name="quantifying-doc-dissolved-organic-carbon"/>
      <w:r>
        <w:t xml:space="preserve">Quantifying DOC (dissolved organic carbon)</w:t>
      </w:r>
      <w:bookmarkEnd w:id="47"/>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8" w:name="sample-preparation"/>
      <w:r>
        <w:t xml:space="preserve">Sample preparation</w:t>
      </w:r>
      <w:bookmarkEnd w:id="48"/>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9" w:name="instrumental-analysis-methods"/>
      <w:r>
        <w:t xml:space="preserve">Instrumental analysis methods</w:t>
      </w:r>
      <w:bookmarkEnd w:id="49"/>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(catalog No.LC129107, labchem.com) gravimetrically diluted to approximately 3-8 mg/L).</w:t>
      </w:r>
    </w:p>
    <w:p>
      <w:pPr>
        <w:pStyle w:val="BodyText"/>
      </w:pPr>
      <w:r>
        <w:t xml:space="preserve"> </w:t>
      </w:r>
    </w:p>
    <w:p>
      <w:pPr>
        <w:pStyle w:val="Heading4"/>
      </w:pPr>
      <w:bookmarkStart w:id="50" w:name="Xa19b3801762e0a6c0f55232717f8102b4711780"/>
      <w:r>
        <w:t xml:space="preserve">Characterizing NOM (natural organic matter)</w:t>
      </w:r>
      <w:bookmarkEnd w:id="50"/>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pPr>
        <w:pStyle w:val="BodyText"/>
      </w:pPr>
      <w:r>
        <w:t xml:space="preserve"> </w:t>
      </w:r>
    </w:p>
    <w:p>
      <w:pPr>
        <w:pStyle w:val="Heading5"/>
      </w:pPr>
      <w:bookmarkStart w:id="51" w:name="sample-analysis"/>
      <w:r>
        <w:t xml:space="preserve">Sample analysis</w:t>
      </w:r>
      <w:bookmarkEnd w:id="51"/>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2" w:name="instrument-and-data-handling"/>
      <w:r>
        <w:t xml:space="preserve">Instrument and data handling</w:t>
      </w:r>
      <w:bookmarkEnd w:id="52"/>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specific absorbance coefficients (SAC, m</w:t>
      </w:r>
      <w:r>
        <w:rPr>
          <w:vertAlign w:val="superscript"/>
        </w:rPr>
        <w:t xml:space="preserve">-1</w:t>
      </w:r>
      <w:r>
        <w:t xml:space="preserve">) were used to assess NOM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3" w:name="spectral-indices-of-nom-character"/>
      <w:r>
        <w:t xml:space="preserve">Spectral indices of NOM character</w:t>
      </w:r>
      <w:bookmarkEnd w:id="53"/>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w:t>
      </w:r>
      <w:r>
        <w:t xml:space="preserve"> </w:t>
      </w:r>
      <w:r>
        <w:rPr>
          <w:i/>
        </w:rPr>
        <w:t xml:space="preserve">Appendix ####</w:t>
      </w:r>
      <w:r>
        <w:t xml:space="preserve">) and the one most correlated to DBP-FP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t>
      </w:r>
      <w:r>
        <w:t xml:space="preserve">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but seasonal delineation can be nebulous. Here,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conditions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stream response substantial enough for Rack sampler collection.</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section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t xml:space="preserve"> </w:t>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4</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4: CRD Fire Weather Station (FWx) Summary of Features</w:t>
      </w:r>
    </w:p>
    <w:tbl>
      <w:tblPr>
        <w:tblStyle w:val="Table"/>
        <w:tblW w:type="pct" w:w="0.0"/>
        <w:tblLook w:firstRow="1"/>
        <w:tblCaption w:val="Table 4: CRD Fire Weather Station (FWx) Summary of Features"/>
      </w:tblPr>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(Table</w:t>
      </w:r>
      <w:r>
        <w:t xml:space="preserve"> </w:t>
      </w:r>
      <w:r>
        <w:t xml:space="preserve">5</w:t>
      </w:r>
      <w:r>
        <w:t xml:space="preserve">, Figure</w:t>
      </w:r>
      <w:r>
        <w:t xml:space="preserve"> </w:t>
      </w:r>
      <w:r>
        <w:t xml:space="preserve">4</w:t>
      </w:r>
      <w:r>
        <w:t xml:space="preserve">,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5: Average Weather Data from Chris Creek and Martin’s Gulch Fire-weather Stations in Leech Water Supply Area in 2018, 2019, and the Period of 2020 Included in This Project</w:t>
      </w:r>
    </w:p>
    <w:tbl>
      <w:tblPr>
        <w:tblStyle w:val="Table"/>
        <w:tblW w:type="pct" w:w="0.0"/>
        <w:tblLook w:firstRow="1"/>
        <w:tblCaption w:val="Table 5: Average Weather Data from Chris Creek and Martin’s Gulch Fire-weather Stations in Leech Water Supply Area in 2018, 2019, and the Period of 2020 Included in This Project"/>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Rain (mm)</w:t>
            </w:r>
          </w:p>
        </w:tc>
        <w:tc>
          <w:tcPr>
            <w:tcBorders>
              <w:bottom w:val="single"/>
            </w:tcBorders>
            <w:vAlign w:val="bottom"/>
          </w:tcPr>
          <w:p>
            <w:pPr>
              <w:pStyle w:val="Compact"/>
              <w:jc w:val="right"/>
            </w:pPr>
            <w:r>
              <w:t xml:space="preserve">st.dev. (± mm)</w:t>
            </w:r>
          </w:p>
        </w:tc>
        <w:tc>
          <w:tcPr>
            <w:tcBorders>
              <w:bottom w:val="single"/>
            </w:tcBorders>
            <w:vAlign w:val="bottom"/>
          </w:tcPr>
          <w:p>
            <w:pPr>
              <w:pStyle w:val="Compact"/>
              <w:jc w:val="right"/>
            </w:pPr>
            <w:r>
              <w:t xml:space="preserve">Snow depth, max. (m)</w:t>
            </w:r>
          </w:p>
        </w:tc>
        <w:tc>
          <w:tcPr>
            <w:tcBorders>
              <w:bottom w:val="single"/>
            </w:tcBorders>
            <w:vAlign w:val="bottom"/>
          </w:tcPr>
          <w:p>
            <w:pPr>
              <w:pStyle w:val="Compact"/>
              <w:jc w:val="right"/>
            </w:pPr>
            <w:r>
              <w:t xml:space="preserve">Air temp., mean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Min. air temp. (°C)</w:t>
            </w:r>
          </w:p>
        </w:tc>
        <w:tc>
          <w:tcPr>
            <w:tcBorders>
              <w:bottom w:val="single"/>
            </w:tcBorders>
            <w:vAlign w:val="bottom"/>
          </w:tcPr>
          <w:p>
            <w:pPr>
              <w:pStyle w:val="Compact"/>
              <w:jc w:val="right"/>
            </w:pPr>
            <w:r>
              <w:t xml:space="preserve">Max. air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560 m a.s.l) and Martin’s Gulch (512 m a.s.l)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(560 m a.s.l) and Martin’s Gulch (512 m a.s.l) fire-weather stations in the Leech Water Supply Area, where the highlighted section indicates the study period.</w:t>
      </w:r>
    </w:p>
    <w:p>
      <w:pPr>
        <w:pStyle w:val="BodyText"/>
      </w:pPr>
      <w:r>
        <w:t xml:space="preserve"> </w:t>
      </w:r>
    </w:p>
    <w:p>
      <w:pPr>
        <w:pStyle w:val="Heading4"/>
      </w:pPr>
      <w:bookmarkStart w:id="58" w:name="seasonal-delineation"/>
      <w:r>
        <w:t xml:space="preserve">Seasonal delineation</w:t>
      </w:r>
      <w:bookmarkEnd w:id="58"/>
    </w:p>
    <w:p>
      <w:pPr>
        <w:pStyle w:val="FirstParagraph"/>
      </w:pPr>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rain events were precipitation accumulating to 50 mm or more with a period of at least 14 hours between 50 mm rain accumulation (Table</w:t>
      </w:r>
      <w:r>
        <w:t xml:space="preserve"> </w:t>
      </w:r>
      <w:r>
        <w:t xml:space="preserve">6</w:t>
      </w:r>
      <w:r>
        <w:t xml:space="preserve">).</w:t>
      </w:r>
    </w:p>
    <w:p>
      <w:pPr>
        <w:pStyle w:val="BodyText"/>
      </w:pPr>
      <w:r>
        <w:t xml:space="preserve"> </w:t>
      </w:r>
    </w:p>
    <w:p>
      <w:pPr>
        <w:pStyle w:val="TableCaption"/>
      </w:pPr>
      <w:r>
        <w:t xml:space="preserve">Table 6: Rain Events Defined by Vertical Rack Sample Collection (corresponding to a threshold of 50 mm accumulation with 14-hour inter-event period)</w:t>
      </w:r>
    </w:p>
    <w:tbl>
      <w:tblPr>
        <w:tblStyle w:val="Table"/>
        <w:tblW w:type="pct" w:w="0.0"/>
        <w:tblLook w:firstRow="1"/>
        <w:tblCaption w:val="Table 6: Rain Events Defined by Vertical Rack Sample Collection (corresponding to a threshold of 50 mm accumulation with 14-hour inter-event period)"/>
      </w:tblPr>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70.5</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(Table</w:t>
      </w:r>
      <w:r>
        <w:t xml:space="preserve"> </w:t>
      </w:r>
      <w:r>
        <w:t xml:space="preserve">6</w:t>
      </w:r>
      <w:r>
        <w:t xml:space="preserve">).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with streamflow governed by snowmelt rather than rainfall during the period from late January (event 8, Table</w:t>
      </w:r>
      <w:r>
        <w:t xml:space="preserve"> </w:t>
      </w:r>
      <w:r>
        <w:t xml:space="preserve">6</w:t>
      </w:r>
      <w:r>
        <w:t xml:space="preserve">) to mid-May 2019. The dry sampling season spanned from mid-May to late-September 2019, and the 2019/2020 wet season began mid-September (event 9, Table</w:t>
      </w:r>
      <w:r>
        <w:t xml:space="preserve"> </w:t>
      </w:r>
      <w:r>
        <w:t xml:space="preserve">6</w:t>
      </w:r>
      <w:r>
        <w:t xml:space="preserve">) and extended to the end of the field study period (Feb 20, 2020).</w:t>
      </w:r>
    </w:p>
    <w:p>
      <w:pPr>
        <w:pStyle w:val="BodyText"/>
      </w:pPr>
      <w:r>
        <w:t xml:space="preserve"> </w:t>
      </w:r>
    </w:p>
    <w:p>
      <w:pPr>
        <w:pStyle w:val="CaptionedFigure"/>
      </w:pPr>
      <w:r>
        <w:drawing>
          <wp:inline>
            <wp:extent cx="5943600" cy="6629399"/>
            <wp:effectExtent b="0" l="0" r="0" t="0"/>
            <wp:docPr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snowmelt dominated streamflow. The ‘first flush’ period indicates the first event and beginning of the 2019/2020 wet seas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6629399"/>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snowmelt dominated streamflow. The</w:t>
      </w:r>
      <w:r>
        <w:t xml:space="preserve"> </w:t>
      </w:r>
      <w:r>
        <w:t xml:space="preserve">‘</w:t>
      </w:r>
      <w:r>
        <w:t xml:space="preserve">first flush</w:t>
      </w:r>
      <w:r>
        <w:t xml:space="preserve">’</w:t>
      </w:r>
      <w:r>
        <w:t xml:space="preserve"> </w:t>
      </w:r>
      <w:r>
        <w:t xml:space="preserve">period indicates the first event and beginning of the 2019/2020 wet season.</w:t>
      </w:r>
    </w:p>
    <w:p>
      <w:pPr>
        <w:pStyle w:val="BodyText"/>
      </w:pPr>
      <w:r>
        <w:t xml:space="preserve"> </w:t>
      </w:r>
    </w:p>
    <w:p>
      <w:pPr>
        <w:pStyle w:val="Heading4"/>
      </w:pPr>
      <w:bookmarkStart w:id="60" w:name="X3d3391d95592755d7e277c23c5f0da103b0707e"/>
      <w:r>
        <w:t xml:space="preserve">NOM reactive character: SAC</w:t>
      </w:r>
      <w:r>
        <w:rPr>
          <w:vertAlign w:val="subscript"/>
        </w:rPr>
        <w:t xml:space="preserve">254</w:t>
      </w:r>
      <w:r>
        <w:t xml:space="preserve"> </w:t>
      </w:r>
      <w:r>
        <w:t xml:space="preserve">rather than SUVA</w:t>
      </w:r>
      <w:r>
        <w:rPr>
          <w:vertAlign w:val="subscript"/>
        </w:rPr>
        <w:t xml:space="preserve">254</w:t>
      </w:r>
      <w:bookmarkEnd w:id="60"/>
    </w:p>
    <w:p>
      <w:pPr>
        <w:pStyle w:val="FirstParagraph"/>
      </w:pPr>
      <w:r>
        <w:t xml:space="preserve">Comparison between disinfection byproduct formation potential (BDP-FP) with DOC, SUVA</w:t>
      </w:r>
      <w:r>
        <w:rPr>
          <w:vertAlign w:val="subscript"/>
        </w:rPr>
        <w:t xml:space="preserve">254</w:t>
      </w:r>
      <w:r>
        <w:t xml:space="preserve"> </w:t>
      </w:r>
      <w:r>
        <w:t xml:space="preserve">and SAC</w:t>
      </w:r>
      <w:r>
        <w:rPr>
          <w:vertAlign w:val="subscript"/>
        </w:rPr>
        <w:t xml:space="preserve">254</w:t>
      </w:r>
      <w:r>
        <w:t xml:space="preserve"> </w:t>
      </w:r>
      <w:r>
        <w:t xml:space="preserve">(Appendix #########) showed that SAC</w:t>
      </w:r>
      <w:r>
        <w:rPr>
          <w:vertAlign w:val="subscript"/>
        </w:rPr>
        <w:t xml:space="preserve">254</w:t>
      </w:r>
      <w:r>
        <w:t xml:space="preserve"> </w:t>
      </w:r>
      <w:r>
        <w:t xml:space="preserve">was a better correlated to DBP-FPs than was SUVA</w:t>
      </w:r>
      <w:r>
        <w:rPr>
          <w:vertAlign w:val="subscript"/>
        </w:rPr>
        <w:t xml:space="preserve">254</w:t>
      </w:r>
      <w:r>
        <w:t xml:space="preserve"> </w:t>
      </w:r>
      <w:r>
        <w:t xml:space="preserve">or DOC. Thus, SUVA</w:t>
      </w:r>
      <w:r>
        <w:rPr>
          <w:vertAlign w:val="subscript"/>
        </w:rPr>
        <w:t xml:space="preserve">254</w:t>
      </w:r>
      <w:r>
        <w:t xml:space="preserve"> </w:t>
      </w:r>
      <w:r>
        <w:t xml:space="preserve">was largely omitted from results while SAC</w:t>
      </w:r>
      <w:r>
        <w:rPr>
          <w:vertAlign w:val="subscript"/>
        </w:rPr>
        <w:t xml:space="preserve">254</w:t>
      </w:r>
      <w:r>
        <w:t xml:space="preserve"> </w:t>
      </w:r>
      <w:r>
        <w:t xml:space="preserve">was included as an indicator of NOM aromaticity and reactivity.</w:t>
      </w:r>
    </w:p>
    <w:p>
      <w:pPr>
        <w:pStyle w:val="BodyText"/>
      </w:pPr>
      <w:r>
        <w:t xml:space="preserve"> </w:t>
      </w:r>
    </w:p>
    <w:p>
      <w:pPr>
        <w:pStyle w:val="Heading4"/>
      </w:pPr>
      <w:bookmarkStart w:id="61" w:name="vertical-rack-sampling-quality-control"/>
      <w:r>
        <w:t xml:space="preserve">Vertical Rack sampling quality control</w:t>
      </w:r>
      <w:bookmarkEnd w:id="61"/>
    </w:p>
    <w:p>
      <w:pPr>
        <w:pStyle w:val="Heading5"/>
      </w:pPr>
      <w:bookmarkStart w:id="62" w:name="assumptions-of-mixing"/>
      <w:r>
        <w:t xml:space="preserve">Assumptions of mixing</w:t>
      </w:r>
      <w:bookmarkEnd w:id="62"/>
    </w:p>
    <w:p>
      <w:pPr>
        <w:pStyle w:val="FirstParagraph"/>
      </w:pPr>
      <w:r>
        <w:t xml:space="preserve">Trail cameras were installed at four sites (data not included here) and observation of streamflow during Rack sample collection showed highly turbulent flows, thus the assumption of well-mixed water was accepted.</w:t>
      </w:r>
    </w:p>
    <w:p>
      <w:pPr>
        <w:pStyle w:val="BodyText"/>
      </w:pPr>
      <w:r>
        <w:t xml:space="preserve"> </w:t>
      </w:r>
    </w:p>
    <w:p>
      <w:pPr>
        <w:pStyle w:val="BodyText"/>
      </w:pPr>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pPr>
        <w:pStyle w:val="BodyText"/>
      </w:pPr>
      <w:r>
        <w:t xml:space="preserve"> </w:t>
      </w:r>
    </w:p>
    <w:p>
      <w:pPr>
        <w:pStyle w:val="Heading5"/>
      </w:pPr>
      <w:bookmarkStart w:id="63" w:name="hold-time-experiments"/>
      <w:r>
        <w:t xml:space="preserve">Hold-time experiments</w:t>
      </w:r>
      <w:bookmarkEnd w:id="63"/>
    </w:p>
    <w:p>
      <w:pPr>
        <w:pStyle w:val="FirstParagraph"/>
      </w:pPr>
      <w:r>
        <w:t xml:space="preserve">Hold-time experiments included three sets of 10 samples, each set compared 5 samples held on the Vertical Rack to 5 replicate samples analyzed immediately after collection (</w:t>
      </w:r>
      <w:r>
        <w:t xml:space="preserve">“</w:t>
      </w:r>
      <w:r>
        <w:t xml:space="preserve">fresh</w:t>
      </w:r>
      <w:r>
        <w:t xml:space="preserve">”</w:t>
      </w:r>
      <w:r>
        <w:t xml:space="preserve">). For each set, the number of days that samples remained held on the Rack were used with air temperatures during the hold-period to assess Rack sample stability (Figure</w:t>
      </w:r>
      <w:r>
        <w:t xml:space="preserve"> </w:t>
      </w:r>
      <w:r>
        <w:t xml:space="preserve">6</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4128561"/>
            <wp:effectExtent b="0" l="0" r="0" t="0"/>
            <wp:docPr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4"/>
                    <a:stretch>
                      <a:fillRect/>
                    </a:stretch>
                  </pic:blipFill>
                  <pic:spPr bwMode="auto">
                    <a:xfrm>
                      <a:off x="0" y="0"/>
                      <a:ext cx="5504749" cy="4128561"/>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Air temperature during vertical rack hold-time experiments. Red horizontal lines indicate the 0-7°C range of a typical laboratory refrigerator and dashed vertical lines separate the three sets of hold-time experiment samples including the period between collection of</w:t>
      </w:r>
      <w:r>
        <w:t xml:space="preserve"> </w:t>
      </w:r>
      <w:r>
        <w:t xml:space="preserve">‘</w:t>
      </w:r>
      <w:r>
        <w:t xml:space="preserve">fresh</w:t>
      </w:r>
      <w:r>
        <w:t xml:space="preserve">’</w:t>
      </w:r>
      <w:r>
        <w:t xml:space="preserve"> </w:t>
      </w:r>
      <w:r>
        <w:t xml:space="preserve">samples to the retrieval of</w:t>
      </w:r>
      <w:r>
        <w:t xml:space="preserve"> </w:t>
      </w:r>
      <w:r>
        <w:t xml:space="preserve">‘</w:t>
      </w:r>
      <w:r>
        <w:t xml:space="preserve">held</w:t>
      </w:r>
      <w:r>
        <w:t xml:space="preserve">’</w:t>
      </w:r>
      <w:r>
        <w:t xml:space="preserve"> </w:t>
      </w:r>
      <w:r>
        <w:t xml:space="preserve">(Rack) samples.</w:t>
      </w:r>
    </w:p>
    <w:p>
      <w:pPr>
        <w:pStyle w:val="BodyText"/>
      </w:pPr>
      <w:r>
        <w:t xml:space="preserve"> </w:t>
      </w:r>
    </w:p>
    <w:p>
      <w:pPr>
        <w:pStyle w:val="BodyText"/>
      </w:pPr>
      <w:r>
        <w:t xml:space="preserve">All samples were analyzed to quantify DOC and characterized NOM properties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For a wider margin of error, a 90% confidence level (rather than 95% or 99%) was used to evaluate comparisons between fresh and held sample results (Table</w:t>
      </w:r>
      <w:r>
        <w:t xml:space="preserve"> </w:t>
      </w:r>
      <w:r>
        <w:t xml:space="preserve">7</w:t>
      </w:r>
      <w:r>
        <w:t xml:space="preserve">).</w:t>
      </w:r>
    </w:p>
    <w:p>
      <w:pPr>
        <w:pStyle w:val="BodyText"/>
      </w:pPr>
      <w:r>
        <w:t xml:space="preserve"> </w:t>
      </w:r>
    </w:p>
    <w:p>
      <w:pPr>
        <w:pStyle w:val="TableCaption"/>
      </w:pPr>
      <w:r>
        <w:t xml:space="preserve">Table 7: Results comparing three Vertical Rack hold-time experiment sets for sample stability in the field</w:t>
      </w:r>
    </w:p>
    <w:tbl>
      <w:tblPr>
        <w:tblStyle w:val="Table"/>
        <w:tblW w:type="pct" w:w="0.0"/>
        <w:tblLook w:firstRow="1"/>
        <w:tblCaption w:val="Table 7: Results comparing three Vertical Rack hold-time experiment sets for sample stability in the field"/>
      </w:tblPr>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r>
        <w:tc>
          <w:p>
            <w:pPr>
              <w:pStyle w:val="Compact"/>
              <w:jc w:val="left"/>
            </w:pPr>
            <w:r>
              <w:t xml:space="preserve">_Note:</w:t>
            </w:r>
          </w:p>
        </w:tc>
        <w:tc>
          <w:p>
            <w:pPr>
              <w:pStyle w:val="Compact"/>
              <w:jc w:val="right"/>
            </w:pPr>
            <w:r>
              <w:t xml:space="preserve">_ one star (</w:t>
            </w:r>
          </w:p>
        </w:tc>
        <w:tc>
          <w:p>
            <w:pPr>
              <w:pStyle w:val="Compact"/>
              <w:jc w:val="left"/>
            </w:pPr>
            <w:r>
              <w:t xml:space="preserve">*) indicates</w:t>
            </w:r>
          </w:p>
        </w:tc>
        <w:tc>
          <w:p>
            <w:pPr>
              <w:pStyle w:val="Compact"/>
              <w:jc w:val="left"/>
            </w:pPr>
            <w:r>
              <w:t xml:space="preserve">significant diff</w:t>
            </w:r>
          </w:p>
        </w:tc>
        <w:tc>
          <w:p>
            <w:pPr>
              <w:pStyle w:val="Compact"/>
              <w:jc w:val="right"/>
            </w:pPr>
            <w:r>
              <w:t xml:space="preserve">erence at 90% co</w:t>
            </w:r>
          </w:p>
        </w:tc>
        <w:tc>
          <w:p>
            <w:pPr>
              <w:pStyle w:val="Compact"/>
              <w:jc w:val="left"/>
            </w:pPr>
            <w:r>
              <w:t xml:space="preserve">nfidence (p &lt; 0.1),</w:t>
            </w:r>
          </w:p>
        </w:tc>
        <w:tc>
          <w:p/>
        </w:tc>
        <w:tc>
          <w:p/>
        </w:tc>
        <w:tc>
          <w:p/>
        </w:tc>
      </w:tr>
      <w:tr>
        <w:tc>
          <w:p>
            <w:pPr>
              <w:pStyle w:val="Compact"/>
              <w:jc w:val="left"/>
            </w:pPr>
            <w:r>
              <w:t xml:space="preserve">two st</w:t>
            </w:r>
          </w:p>
        </w:tc>
        <w:tc>
          <w:p>
            <w:pPr>
              <w:pStyle w:val="Compact"/>
              <w:jc w:val="right"/>
            </w:pPr>
            <w:r>
              <w:t xml:space="preserve">ars (**) ind</w:t>
            </w:r>
          </w:p>
        </w:tc>
        <w:tc>
          <w:p>
            <w:pPr>
              <w:pStyle w:val="Compact"/>
              <w:jc w:val="left"/>
            </w:pPr>
            <w:r>
              <w:t xml:space="preserve">icates signi</w:t>
            </w:r>
          </w:p>
        </w:tc>
        <w:tc>
          <w:p>
            <w:pPr>
              <w:pStyle w:val="Compact"/>
              <w:jc w:val="left"/>
            </w:pPr>
            <w:r>
              <w:t xml:space="preserve">ficant difference</w:t>
            </w:r>
          </w:p>
        </w:tc>
        <w:tc>
          <w:p>
            <w:pPr>
              <w:pStyle w:val="Compact"/>
              <w:jc w:val="right"/>
            </w:pPr>
            <w:r>
              <w:t xml:space="preserve">at 95% confiden</w:t>
            </w:r>
          </w:p>
        </w:tc>
        <w:tc>
          <w:p>
            <w:pPr>
              <w:pStyle w:val="Compact"/>
              <w:jc w:val="left"/>
            </w:pPr>
            <w:r>
              <w:t xml:space="preserve">ce (p &lt; 0.05)</w:t>
            </w:r>
          </w:p>
        </w:tc>
        <w:tc>
          <w:p/>
        </w:tc>
        <w:tc>
          <w:p/>
        </w:tc>
        <w:tc>
          <w:p/>
        </w:tc>
      </w:tr>
    </w:tbl>
    <w:p>
      <w:pPr>
        <w:pStyle w:val="BodyText"/>
      </w:pPr>
      <w:r>
        <w:t xml:space="preserve"> </w:t>
      </w:r>
    </w:p>
    <w:p>
      <w:pPr>
        <w:pStyle w:val="BodyText"/>
      </w:pPr>
      <w:r>
        <w:t xml:space="preserve">There was a significant change in DOC concentration (at 90% confidence, p-value = 0.063) for hold-time set A, where mean DOC concentration was 45% lower in the held samples compared to the fresh grab samples.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Samples collected for hold-time set A were DOC-rich</w:t>
      </w:r>
      <w:r>
        <w:t xml:space="preserve"> </w:t>
      </w:r>
      <w:r>
        <w:t xml:space="preserve">“</w:t>
      </w:r>
      <w:r>
        <w:t xml:space="preserve">first flush</w:t>
      </w:r>
      <w:r>
        <w:t xml:space="preserve">”</w:t>
      </w:r>
      <w:r>
        <w:t xml:space="preserve"> </w:t>
      </w:r>
      <w:r>
        <w:t xml:space="preserve">samples (i.e. the first sampling event of a wet season), and the Rack samples were held for 11 days at average temperature of 7° C (slightly above laboratory refrigerator temperatures).</w:t>
      </w:r>
    </w:p>
    <w:p>
      <w:pPr>
        <w:pStyle w:val="BodyText"/>
      </w:pPr>
      <w:r>
        <w:t xml:space="preserve"> </w:t>
      </w:r>
    </w:p>
    <w:p>
      <w:pPr>
        <w:pStyle w:val="BodyText"/>
      </w:pPr>
      <w:r>
        <w:t xml:space="preserve">Set 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 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7</w:t>
      </w:r>
      <w:r>
        <w:t xml:space="preserve">, Table</w:t>
      </w:r>
      <w:r>
        <w:t xml:space="preserve"> </w:t>
      </w:r>
      <w:r>
        <w:t xml:space="preserve">7</w:t>
      </w:r>
      <w:r>
        <w:t xml:space="preserve">) there was no real change in SAC</w:t>
      </w:r>
      <w:r>
        <w:rPr>
          <w:vertAlign w:val="subscript"/>
        </w:rPr>
        <w:t xml:space="preserve">254</w:t>
      </w:r>
      <w:r>
        <w:t xml:space="preserve"> </w:t>
      </w:r>
      <w:r>
        <w:t xml:space="preserve">for hold-time set B.</w:t>
      </w:r>
    </w:p>
    <w:p>
      <w:pPr>
        <w:pStyle w:val="BodyText"/>
      </w:pPr>
      <w:r>
        <w:t xml:space="preserve"> </w:t>
      </w:r>
    </w:p>
    <w:p>
      <w:pPr>
        <w:pStyle w:val="BodyText"/>
      </w:pPr>
      <w:r>
        <w:t xml:space="preserve">Hold-time set C included samples held for 34 days at an average of 4.4° C, including a period of sub-zero temperatures. While set 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 C samples had greater variability for both all variables compared to the fresh sample counterparts (Figure</w:t>
      </w:r>
      <w:r>
        <w:t xml:space="preserve"> </w:t>
      </w:r>
      <w:r>
        <w:t xml:space="preserve">7</w:t>
      </w:r>
      <w:r>
        <w:t xml:space="preserve">).</w:t>
      </w:r>
    </w:p>
    <w:p>
      <w:pPr>
        <w:pStyle w:val="BodyText"/>
      </w:pPr>
      <w:r>
        <w:t xml:space="preserve"> </w:t>
      </w:r>
    </w:p>
    <w:p>
      <w:pPr>
        <w:pStyle w:val="CaptionedFigure"/>
      </w:pPr>
      <w:r>
        <w:drawing>
          <wp:inline>
            <wp:extent cx="5504749" cy="4587290"/>
            <wp:effectExtent b="0" l="0" r="0" t="0"/>
            <wp:docPr descr="Figure 7: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6" w:name="summary"/>
      <w:r>
        <w:t xml:space="preserve">Summary</w:t>
      </w:r>
      <w:bookmarkEnd w:id="66"/>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BodyText"/>
      </w:pPr>
      <w:r>
        <w:t xml:space="preserve">In future studies, more in-depth</w:t>
      </w:r>
      <w:r>
        <w:t xml:space="preserve"> </w:t>
      </w:r>
      <w:r>
        <w:t xml:space="preserve">‘</w:t>
      </w:r>
      <w:r>
        <w:t xml:space="preserve">discrete sample collection</w:t>
      </w:r>
      <w:r>
        <w:t xml:space="preserve">’</w:t>
      </w:r>
      <w:r>
        <w:t xml:space="preserve"> </w:t>
      </w:r>
      <w:r>
        <w:t xml:space="preserve">validation tests could be performed with similar food colouring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pPr>
        <w:pStyle w:val="BodyText"/>
      </w:pPr>
      <w:r>
        <w:t xml:space="preserve"> </w:t>
      </w:r>
    </w:p>
    <w:p>
      <w:pPr>
        <w:pStyle w:val="Heading2"/>
      </w:pPr>
      <w:bookmarkStart w:id="67" w:name="X388ffc6f5894f330970e070a51d9a736afdaabe"/>
      <w:r>
        <w:t xml:space="preserve">Spatial and Temporal Patterns in NOM Concentration and Character Across the Greater Victoria Water Supply Areas</w:t>
      </w:r>
      <w:bookmarkEnd w:id="67"/>
    </w:p>
    <w:p>
      <w:pPr>
        <w:pStyle w:val="FirstParagraph"/>
      </w:pPr>
      <w:r>
        <w:t xml:space="preserve"> </w:t>
      </w:r>
    </w:p>
    <w:p>
      <w:pPr>
        <w:pStyle w:val="Heading3"/>
      </w:pPr>
      <w:bookmarkStart w:id="68" w:name="synopsis"/>
      <w:r>
        <w:t xml:space="preserve">Synopsis</w:t>
      </w:r>
      <w:bookmarkEnd w:id="68"/>
    </w:p>
    <w:p>
      <w:pPr>
        <w:pStyle w:val="FirstParagraph"/>
      </w:pPr>
      <w:r>
        <w:t xml:space="preserve">The methods defined in Chapter 2 were used to collect and analyze surface water samples across the twelve Greater Victoria water supply area sites (GVWSA, refer to Figure</w:t>
      </w:r>
      <w:r>
        <w:t xml:space="preserve"> </w:t>
      </w:r>
      <w:r>
        <w:t xml:space="preserve">2</w:t>
      </w:r>
      <w:r>
        <w:t xml:space="preserve"> </w:t>
      </w:r>
      <w:r>
        <w:t xml:space="preserve">for map). The objective was to describe spatial and temporal patterns and variation of natural organic matter (NOM) concentrations (as dissolved organic carbon, DOC) and spectral character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Additionally, sampling results were interpreted with the goal of clarifying the influence of seasonality on concentration and character of NOM.</w:t>
      </w:r>
    </w:p>
    <w:p>
      <w:pPr>
        <w:pStyle w:val="BodyText"/>
      </w:pPr>
      <w:r>
        <w:t xml:space="preserve"> </w:t>
      </w:r>
    </w:p>
    <w:p>
      <w:pPr>
        <w:pStyle w:val="Heading3"/>
      </w:pPr>
      <w:bookmarkStart w:id="69" w:name="methods"/>
      <w:r>
        <w:t xml:space="preserve">Methods</w:t>
      </w:r>
      <w:bookmarkEnd w:id="69"/>
    </w:p>
    <w:p>
      <w:pPr>
        <w:pStyle w:val="FirstParagraph"/>
      </w:pPr>
      <w:r>
        <w:t xml:space="preserve">All samples were collected by methods described in Chapter 2, and all data was flagged and filtered based on quality assurance described therein. Here, NOM is assessed based on concentrations of dissolved organic carbon (DOC) and character is indicated by SAC</w:t>
      </w:r>
      <w:r>
        <w:rPr>
          <w:vertAlign w:val="subscript"/>
        </w:rPr>
        <w:t xml:space="preserve">254</w:t>
      </w:r>
      <w:r>
        <w:t xml:space="preserve"> </w:t>
      </w:r>
      <w:r>
        <w:t xml:space="preserve">(reactivity &amp; aromaticity) and E</w:t>
      </w:r>
      <w:r>
        <w:rPr>
          <w:vertAlign w:val="subscript"/>
        </w:rPr>
        <w:t xml:space="preserve">2</w:t>
      </w:r>
      <w:r>
        <w:t xml:space="preserve">:E</w:t>
      </w:r>
      <w:r>
        <w:rPr>
          <w:vertAlign w:val="subscript"/>
        </w:rPr>
        <w:t xml:space="preserve">3</w:t>
      </w:r>
      <w:r>
        <w:t xml:space="preserve"> </w:t>
      </w:r>
      <w:r>
        <w:t xml:space="preserve">(molecular size &amp; aromaticity).</w:t>
      </w:r>
    </w:p>
    <w:p>
      <w:pPr>
        <w:pStyle w:val="BodyText"/>
      </w:pPr>
      <w:r>
        <w:t xml:space="preserve"> </w:t>
      </w:r>
    </w:p>
    <w:p>
      <w:pPr>
        <w:pStyle w:val="BodyText"/>
      </w:pPr>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sampling season (wet &amp; dry seasons). For shorter scale temporal pattern assessment, rising limb event-based Rack samples from the six monitoring sites in the Leech WSA were compared to inter-event sampling results (i.e. standard Grab samples).</w:t>
      </w:r>
    </w:p>
    <w:p>
      <w:pPr>
        <w:pStyle w:val="BodyText"/>
      </w:pPr>
      <w:r>
        <w:t xml:space="preserve"> </w:t>
      </w:r>
    </w:p>
    <w:p>
      <w:pPr>
        <w:pStyle w:val="Heading3"/>
      </w:pPr>
      <w:bookmarkStart w:id="70" w:name="results"/>
      <w:r>
        <w:t xml:space="preserve">Results</w:t>
      </w:r>
      <w:bookmarkEnd w:id="70"/>
    </w:p>
    <w:p>
      <w:pPr>
        <w:pStyle w:val="FirstParagraph"/>
      </w:pPr>
      <w:r>
        <w:t xml:space="preserve">From October 2018 to February 2020, across the GVWSA 426 river samples were collected and analyzed for DOC, and 318 of those samples were analyzed by UV-Vis for NOM character assessment (Table</w:t>
      </w:r>
      <w:r>
        <w:t xml:space="preserve"> </w:t>
      </w:r>
      <w:r>
        <w:t xml:space="preserve">8</w:t>
      </w:r>
      <w:r>
        <w:t xml:space="preserve">). Fewer samples were analyzed for UV-Vis properties than for DOC concentration due to method evolution at the start of the project and instrument-sharing limitations. Of the samples collected and analyzed, DOC data were reduced by 9.2% (to 387 samples) during Hold-time quality control checks (described in Chapter 2) and UV-Vis data were reduced by 19.5% (to 256 samples). Quality control resulted in a 9% reduction in UV-Vis data and an additional 10.5% was unfortunately lost during instrument maintenance. Analysis of calibration verification standards resulted in an average analytical accuracy of 10% (</w:t>
      </w:r>
      <w:r>
        <w:rPr>
          <w:i/>
        </w:rPr>
        <w:t xml:space="preserve">n</w:t>
      </w:r>
      <w:r>
        <w:t xml:space="preserve"> </w:t>
      </w:r>
      <w:r>
        <w:t xml:space="preserve">= 20).</w:t>
      </w:r>
    </w:p>
    <w:p>
      <w:pPr>
        <w:pStyle w:val="BodyText"/>
      </w:pPr>
      <w:r>
        <w:t xml:space="preserve"> </w:t>
      </w:r>
    </w:p>
    <w:p>
      <w:pPr>
        <w:pStyle w:val="TableCaption"/>
      </w:pPr>
      <w:r>
        <w:t xml:space="preserve">Table 8: Summary of Samples Collected and Number Included in Data Analysis</w:t>
      </w:r>
    </w:p>
    <w:tbl>
      <w:tblPr>
        <w:tblStyle w:val="Table"/>
        <w:tblW w:type="pct" w:w="0.0"/>
        <w:tblLook w:firstRow="1"/>
        <w:tblCaption w:val="Table 8: Summary of Samples Collected and Number Included in Data Analysis"/>
      </w:tblPr>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4"/>
      </w:pPr>
      <w:bookmarkStart w:id="71" w:name="X5df29f0d072217184f9d2c3d489d6e7d9af746b"/>
      <w:r>
        <w:t xml:space="preserve">Spatial patterns in NOM quantity and quality</w:t>
      </w:r>
      <w:bookmarkEnd w:id="71"/>
    </w:p>
    <w:p>
      <w:pPr>
        <w:pStyle w:val="FirstParagraph"/>
      </w:pPr>
      <w:r>
        <w:t xml:space="preserve">From 366 quality-controlled river water samples collected over 16 months, DOC ranged from 1.6 to 19.1 mg/L (5.7 mg/L median) with mean DOC of 6.1 ± 2.9 mg/L overall. The relative standard deviation (RSD = std.dev/mean)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sampling sites (means of 9.9 mg/L and 9.7 mg/L,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and their means (5.4 mg/L and 4.8 mg/L, respectively) were not unlike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 xml:space="preserve">2</w:t>
      </w:r>
      <w:r>
        <w:t xml:space="preserve">) with mean DOC of 5.8 ± 2.4 mg/L (41% RSD). Between these two sites with the highest DOC variance, the West Leech – a monitoring site – was more heavily sampled than Rithet – a synoptic sampling site alone (Table</w:t>
      </w:r>
      <w:r>
        <w:t xml:space="preserve"> </w:t>
      </w:r>
      <w:r>
        <w:t xml:space="preserve">9</w:t>
      </w:r>
      <w:r>
        <w:t xml:space="preserve">).</w:t>
      </w:r>
    </w:p>
    <w:p>
      <w:pPr>
        <w:pStyle w:val="BodyText"/>
      </w:pPr>
      <w:r>
        <w:t xml:space="preserve"> </w:t>
      </w:r>
    </w:p>
    <w:p>
      <w:pPr>
        <w:pStyle w:val="BodyText"/>
      </w:pPr>
      <w:r>
        <w:t xml:space="preserve">Mean DOC concentrations were similar between Judge crk (8.33 km</w:t>
      </w:r>
      <w:r>
        <w:rPr>
          <w:vertAlign w:val="superscript"/>
        </w:rPr>
        <w:t xml:space="preserve">2</w:t>
      </w:r>
      <w:r>
        <w:t xml:space="preserve"> </w:t>
      </w:r>
      <w:r>
        <w:t xml:space="preserve">sub-basin) and Rithet crk, the Sooke WSA main tributaries (mean DOC of 5.7 ± 1.1 mg/L and 5.4 ± 3.9 mg/L, respectively). Comparing these Sooke WSA main tributary sites to the future supplemental supply (Leech Tunnel site), mean DOC was similar among the three, but slightly higher in the Sooke WSA than at the Leech Tunnel (4.8 ± 1.8 mg/L), though the number of samples collected at the Tunnel was much greater (Table</w:t>
      </w:r>
      <w:r>
        <w:t xml:space="preserve"> </w:t>
      </w:r>
      <w:r>
        <w:t xml:space="preserve">9</w:t>
      </w:r>
      <w:r>
        <w:t xml:space="preserve">).</w:t>
      </w:r>
    </w:p>
    <w:p>
      <w:pPr>
        <w:pStyle w:val="BodyText"/>
      </w:pPr>
      <w:r>
        <w:t xml:space="preserve"> </w:t>
      </w:r>
    </w:p>
    <w:p>
      <w:pPr>
        <w:pStyle w:val="TableCaption"/>
      </w:pPr>
      <w:r>
        <w:t xml:space="preserve">Table 9: Dissolved Organic Carbon Concentrations (DOC) Across Twelve Synoptically Sampled Sites in the Greater Victoria Water Supply Area</w:t>
      </w:r>
    </w:p>
    <w:tbl>
      <w:tblPr>
        <w:tblStyle w:val="Table"/>
        <w:tblW w:type="pct" w:w="0.0"/>
        <w:tblLook w:firstRow="1"/>
        <w:tblCaption w:val="Table 9: Dissolved Organic Carbon Concentrations (DOC) Across Twelve Synoptically Sampled Sites in the Greater Victoria Water Supply Area"/>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Overall, DOC decreased from low-order headwater streams to higher-order downstream sites (Table</w:t>
      </w:r>
      <w:r>
        <w:t xml:space="preserve"> </w:t>
      </w:r>
      <w:r>
        <w:t xml:space="preserve">9</w:t>
      </w:r>
      <w:r>
        <w:t xml:space="preserve">, Figure</w:t>
      </w:r>
      <w:r>
        <w:t xml:space="preserve"> </w:t>
      </w:r>
      <w:r>
        <w:t xml:space="preserve">8</w:t>
      </w:r>
      <w:r>
        <w:t xml:space="preserve">). Like concentration, there was an overall reduction in NOM character (i.e. aromaticity, reactivity, and/or molecular size) from upstream to downstream sites (Table</w:t>
      </w:r>
      <w:r>
        <w:t xml:space="preserve"> </w:t>
      </w:r>
      <w:r>
        <w:t xml:space="preserve">10</w:t>
      </w:r>
      <w:r>
        <w:t xml:space="preserve">, Figure</w:t>
      </w:r>
      <w:r>
        <w:t xml:space="preserve"> </w:t>
      </w:r>
      <w:r>
        <w:t xml:space="preserve">8</w:t>
      </w:r>
      <w:r>
        <w:t xml:space="preserve">). The lowest absolute measurement for NOM aromaticity occurred at the Cragg crk site (minimum SAC</w:t>
      </w:r>
      <w:r>
        <w:rPr>
          <w:vertAlign w:val="subscript"/>
        </w:rPr>
        <w:t xml:space="preserve">254</w:t>
      </w:r>
      <w:r>
        <w:t xml:space="preserve"> </w:t>
      </w:r>
      <w:r>
        <w:t xml:space="preserve">4.69 m</w:t>
      </w:r>
      <w:r>
        <w:rPr>
          <w:vertAlign w:val="superscript"/>
        </w:rPr>
        <w:t xml:space="preserve">-1</w:t>
      </w:r>
      <w:r>
        <w:t xml:space="preserve">, maximum E</w:t>
      </w:r>
      <w:r>
        <w:rPr>
          <w:vertAlign w:val="subscript"/>
        </w:rPr>
        <w:t xml:space="preserve">2</w:t>
      </w:r>
      <w:r>
        <w:t xml:space="preserve">:E</w:t>
      </w:r>
      <w:r>
        <w:rPr>
          <w:vertAlign w:val="subscript"/>
        </w:rPr>
        <w:t xml:space="preserve">3</w:t>
      </w:r>
      <w:r>
        <w:t xml:space="preserve"> </w:t>
      </w:r>
      <w:r>
        <w:t xml:space="preserve">of 5.03). Cragg crk also had among the lowest mean aromaticity, though it tied with Judge crk (mean E</w:t>
      </w:r>
      <w:r>
        <w:rPr>
          <w:vertAlign w:val="subscript"/>
        </w:rPr>
        <w:t xml:space="preserve">2</w:t>
      </w:r>
      <w:r>
        <w:t xml:space="preserve">:E</w:t>
      </w:r>
      <w:r>
        <w:rPr>
          <w:vertAlign w:val="subscript"/>
        </w:rPr>
        <w:t xml:space="preserve">3</w:t>
      </w:r>
      <w:r>
        <w:t xml:space="preserve"> </w:t>
      </w:r>
      <w:r>
        <w:t xml:space="preserve">of 4.59), abd both were very close to Lazar crk (mean E</w:t>
      </w:r>
      <w:r>
        <w:rPr>
          <w:vertAlign w:val="subscript"/>
        </w:rPr>
        <w:t xml:space="preserve">2</w:t>
      </w:r>
      <w:r>
        <w:t xml:space="preserve">:E</w:t>
      </w:r>
      <w:r>
        <w:rPr>
          <w:vertAlign w:val="subscript"/>
        </w:rPr>
        <w:t xml:space="preserve">3</w:t>
      </w:r>
      <w:r>
        <w:t xml:space="preserve"> </w:t>
      </w:r>
      <w:r>
        <w:t xml:space="preserve">of 4.55, and mean SAC</w:t>
      </w:r>
      <w:r>
        <w:rPr>
          <w:vertAlign w:val="subscript"/>
        </w:rPr>
        <w:t xml:space="preserve">254</w:t>
      </w:r>
      <w:r>
        <w:t xml:space="preserve"> </w:t>
      </w:r>
      <w:r>
        <w:t xml:space="preserve">10.6 m</w:t>
      </w:r>
      <w:r>
        <w:rPr>
          <w:vertAlign w:val="superscript"/>
        </w:rPr>
        <w:t xml:space="preserve">-1</w:t>
      </w:r>
      <w:r>
        <w:t xml:space="preserve">).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 xml:space="preserve">2</w:t>
      </w:r>
      <w:r>
        <w:t xml:space="preserve">:E</w:t>
      </w:r>
      <w:r>
        <w:rPr>
          <w:vertAlign w:val="subscript"/>
        </w:rPr>
        <w:t xml:space="preserve">3</w:t>
      </w:r>
      <w:r>
        <w:t xml:space="preserve">, 3.77), and the other headwater creek in Cragg basin, Jarvis creek, had the other most aromatic sample measured by SAC</w:t>
      </w:r>
      <w:r>
        <w:rPr>
          <w:vertAlign w:val="subscript"/>
        </w:rPr>
        <w:t xml:space="preserve">254</w:t>
      </w:r>
      <w:r>
        <w:t xml:space="preserve"> </w:t>
      </w:r>
      <w:r>
        <w:t xml:space="preserve">(41.7 m</w:t>
      </w:r>
      <w:r>
        <w:rPr>
          <w:vertAlign w:val="superscript"/>
        </w:rPr>
        <w:t xml:space="preserve">-1</w:t>
      </w:r>
      <w:r>
        <w:t xml:space="preserve">). So, Lazar crk had the lowest aromatic NOM on average, but it also had one of the most aromatic samples of all (Table</w:t>
      </w:r>
      <w:r>
        <w:t xml:space="preserve"> </w:t>
      </w:r>
      <w:r>
        <w:t xml:space="preserve">10</w:t>
      </w:r>
      <w:r>
        <w:t xml:space="preserve">, Figure</w:t>
      </w:r>
      <w:r>
        <w:t xml:space="preserve"> </w:t>
      </w:r>
      <w:r>
        <w:t xml:space="preserve">8</w:t>
      </w:r>
      <w:r>
        <w:t xml:space="preserve">). Indeed, Lazar had the greatest range in E</w:t>
      </w:r>
      <w:r>
        <w:rPr>
          <w:vertAlign w:val="subscript"/>
        </w:rPr>
        <w:t xml:space="preserve">2</w:t>
      </w:r>
      <w:r>
        <w:t xml:space="preserve">:E</w:t>
      </w:r>
      <w:r>
        <w:rPr>
          <w:vertAlign w:val="subscript"/>
        </w:rPr>
        <w:t xml:space="preserve">3</w:t>
      </w:r>
      <w:r>
        <w:t xml:space="preserve"> </w:t>
      </w:r>
      <w:r>
        <w:t xml:space="preserve">values with 9% RSD. Overall, the most diversity in aromaticity measured by SAC</w:t>
      </w:r>
      <w:r>
        <w:rPr>
          <w:vertAlign w:val="subscript"/>
        </w:rPr>
        <w:t xml:space="preserve">254</w:t>
      </w:r>
      <w:r>
        <w:t xml:space="preserve"> </w:t>
      </w:r>
      <w:r>
        <w:t xml:space="preserve">were recorded in samples from the headwater sites of Chris crk (50% RSD), Jarvis (47% RSD) and Lazar (45% RSD). And the site with the greatest average aromaticity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4.27).</w:t>
      </w:r>
    </w:p>
    <w:p>
      <w:pPr>
        <w:pStyle w:val="BodyText"/>
      </w:pPr>
      <w:r>
        <w:t xml:space="preserve"> </w:t>
      </w:r>
    </w:p>
    <w:p>
      <w:pPr>
        <w:pStyle w:val="TableCaption"/>
      </w:pPr>
      <w:r>
        <w:t xml:space="preserve">Table 10: Spectral Properties of Natural Organic Matter (NOM) Character Across Twelve Synoptically Sampled Sites in the Greater Victoria Water Supply Area</w:t>
      </w:r>
    </w:p>
    <w:tbl>
      <w:tblPr>
        <w:tblStyle w:val="Table"/>
        <w:tblW w:type="pct" w:w="0.0"/>
        <w:tblLook w:firstRow="1"/>
        <w:tblCaption w:val="Table 10: Spectral Properties of Natural Organic Matter (NOM) Character Across Twelve Synoptically Sampled Sites in the Greater Victoria Water Supply Area"/>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Mean (m</w:t>
            </w:r>
            <w:r>
              <w:rPr>
                <w:vertAlign w:val="superscript"/>
              </w:rPr>
              <w:t xml:space="preserve">-1</w:t>
            </w:r>
            <w:r>
              <w:t xml:space="preserve">)</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Mean (unitless)</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2"/>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BodyText"/>
      </w:pPr>
      <w:r>
        <w:t xml:space="preserve">The Leech River Tunnel is the effective outlet of the Leech WSA, where runoff from each nested catchment is integrated. Similarly, from a headwater’s perspective, runoff from the sub-basins of Weeks and Chris crk are integrated at the Leech-head site, and Jarvis and Lazar creek sub-basins are ultimately integrated at the Cragg crk site. There was a greater distance between the Cragg crk site and its headwaters’ sampling sites compared to Leech-head and its headwaters’ locations (see Figure</w:t>
      </w:r>
      <w:r>
        <w:t xml:space="preserve"> </w:t>
      </w:r>
      <w:r>
        <w:t xml:space="preserve">2</w:t>
      </w:r>
      <w:r>
        <w:t xml:space="preserve">).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w:t>
      </w:r>
      <w:r>
        <w:t xml:space="preserve"> </w:t>
      </w:r>
      <w:r>
        <w:t xml:space="preserve">9</w:t>
      </w:r>
      <w:r>
        <w:t xml:space="preserve">, plot A). Similarly, Grab samples collected at the headwaters of Cragg crk, Jarvis and Lazar, were compared to all samples at the Cragg crk monitoring site (Figure</w:t>
      </w:r>
      <w:r>
        <w:t xml:space="preserve"> </w:t>
      </w:r>
      <w:r>
        <w:t xml:space="preserve">9</w:t>
      </w:r>
      <w:r>
        <w:t xml:space="preserve">, plot B). Higher order rivers were also examined in a similar way, comparing Rack and Grab samples at the Leech Tunnel to Grab samples collected upstream at Leech-Head, Cragg crk and West Leech sites (Figure</w:t>
      </w:r>
      <w:r>
        <w:t xml:space="preserve"> </w:t>
      </w:r>
      <w:r>
        <w:t xml:space="preserve">9</w:t>
      </w:r>
      <w:r>
        <w:t xml:space="preserve">, plot C).</w:t>
      </w:r>
    </w:p>
    <w:p>
      <w:pPr>
        <w:pStyle w:val="BodyText"/>
      </w:pPr>
      <w:r>
        <w:t xml:space="preserve"> </w:t>
      </w:r>
    </w:p>
    <w:p>
      <w:pPr>
        <w:pStyle w:val="BodyText"/>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9</w:t>
      </w:r>
      <w:r>
        <w:t xml:space="preserve">, plot A);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(Levene’s p-value 0.0011). Unlike Leech-Head, which had near-average DOC concentrations relative to its two headwaters, samples collected at Cragg crk had DOC that was lower than concentrations in either of its headwater sites (Figure</w:t>
      </w:r>
      <w:r>
        <w:t xml:space="preserve"> </w:t>
      </w:r>
      <w:r>
        <w:t xml:space="preserve">9</w:t>
      </w:r>
      <w:r>
        <w:t xml:space="preserve">,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When higher order rivers were examined in a similar upstream Grab to downstream Rack &amp; Grab comparison, the combination of Rack and Grab samples at the Leech Tunnel site did capture the DOC ranges observed in Grab samples at three upstream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BodyText"/>
      </w:pPr>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samples from 3rd order headwater stream samples; this is likely due to the greater variability at lower-order streams.</w:t>
      </w:r>
    </w:p>
    <w:p>
      <w:pPr>
        <w:pStyle w:val="BodyText"/>
      </w:pPr>
      <w:r>
        <w:t xml:space="preserve"> </w:t>
      </w:r>
    </w:p>
    <w:p>
      <w:pPr>
        <w:pStyle w:val="CaptionedFigure"/>
      </w:pPr>
      <w:r>
        <w:drawing>
          <wp:inline>
            <wp:extent cx="5504749" cy="5504749"/>
            <wp:effectExtent b="0" l="0" r="0" t="0"/>
            <wp:docPr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3_DOC-boxplot_up-down_metcompar.png" id="0" name="Picture"/>
                    <pic:cNvPicPr>
                      <a:picLocks noChangeArrowheads="1" noChangeAspect="1"/>
                    </pic:cNvPicPr>
                  </pic:nvPicPr>
                  <pic:blipFill>
                    <a:blip r:embed="rId7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Heading4"/>
      </w:pPr>
      <w:bookmarkStart w:id="74" w:name="temporal-patterns-seasonal-changes"/>
      <w:r>
        <w:t xml:space="preserve">Temporal patterns &amp; seasonal changes</w:t>
      </w:r>
      <w:bookmarkEnd w:id="74"/>
    </w:p>
    <w:p>
      <w:pPr>
        <w:pStyle w:val="FirstParagraph"/>
      </w:pPr>
      <w:r>
        <w:t xml:space="preserve">From Oct 2018 to Feb 2020, DOC concentrations followed similar patterns across the synoptic sampling sites (Figure</w:t>
      </w:r>
      <w:r>
        <w:t xml:space="preserve"> </w:t>
      </w:r>
      <w:r>
        <w:t xml:space="preserve">10</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w:t>
      </w:r>
      <w:r>
        <w:t xml:space="preserve"> </w:t>
      </w:r>
      <w:r>
        <w:t xml:space="preserve">10</w:t>
      </w:r>
      <w:r>
        <w:t xml:space="preserve">).</w:t>
      </w:r>
    </w:p>
    <w:p>
      <w:pPr>
        <w:pStyle w:val="BodyText"/>
      </w:pPr>
      <w:r>
        <w:t xml:space="preserve"> </w:t>
      </w:r>
    </w:p>
    <w:p>
      <w:pPr>
        <w:pStyle w:val="CaptionedFigure"/>
      </w:pPr>
      <w:r>
        <w:drawing>
          <wp:inline>
            <wp:extent cx="5504749" cy="3669832"/>
            <wp:effectExtent b="0" l="0" r="0" t="0"/>
            <wp:docPr descr="Figure 10: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3_DOC-loess-trend.png" id="0" name="Picture"/>
                    <pic:cNvPicPr>
                      <a:picLocks noChangeArrowheads="1" noChangeAspect="1"/>
                    </pic:cNvPicPr>
                  </pic:nvPicPr>
                  <pic:blipFill>
                    <a:blip r:embed="rId7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There were few data points from mid-February through March 2019 (when snow limited field access); however, DOC concentrations were decreasing up to that gap, and were low following it. Thus, the loess trend line in Figure</w:t>
      </w:r>
      <w:r>
        <w:t xml:space="preserve"> </w:t>
      </w:r>
      <w:r>
        <w:t xml:space="preserve">10</w:t>
      </w:r>
      <w:r>
        <w:t xml:space="preserve">, though it includes this data-sparse period, appears to match with the overall pattern observed in available data.</w:t>
      </w:r>
    </w:p>
    <w:p>
      <w:pPr>
        <w:pStyle w:val="BodyText"/>
      </w:pPr>
      <w:r>
        <w:t xml:space="preserve"> </w:t>
      </w:r>
    </w:p>
    <w:p>
      <w:pPr>
        <w:pStyle w:val="BodyText"/>
      </w:pPr>
      <w:r>
        <w:t xml:space="preserve">Despite DOC fluctuation over time, there was almost no difference between mean DOC concentrations during the wet and dry seasons (6.13 mg/L compared to 6.14 mg/L, Table</w:t>
      </w:r>
      <w:r>
        <w:t xml:space="preserve"> </w:t>
      </w:r>
      <w:r>
        <w:t xml:space="preserve">11</w:t>
      </w:r>
      <w:r>
        <w:t xml:space="preserve">).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 xml:space="preserve">254</w:t>
      </w:r>
      <w:r>
        <w:t xml:space="preserve"> </w:t>
      </w:r>
      <w:r>
        <w:t xml:space="preserve">values in wet season samples indicated greater NOM aromaticity and reactivity compared to dry season stream samples (Table</w:t>
      </w:r>
      <w:r>
        <w:t xml:space="preserve"> </w:t>
      </w:r>
      <w:r>
        <w:t xml:space="preserve">11</w:t>
      </w:r>
      <w:r>
        <w:t xml:space="preserve">). Concentration (as NPOC) was well correlated with SAC</w:t>
      </w:r>
      <w:r>
        <w:rPr>
          <w:vertAlign w:val="subscript"/>
        </w:rPr>
        <w:t xml:space="preserve">254</w:t>
      </w:r>
      <w:r>
        <w:t xml:space="preserve"> </w:t>
      </w:r>
      <w:r>
        <w:t xml:space="preserve">during the wet season (R</w:t>
      </w:r>
      <w:r>
        <w:rPr>
          <w:vertAlign w:val="superscript"/>
        </w:rPr>
        <w:t xml:space="preserve">2</w:t>
      </w:r>
      <w:r>
        <w:t xml:space="preserve"> </w:t>
      </w:r>
      <w:r>
        <w:t xml:space="preserve">= 0.896,</w:t>
      </w:r>
      <w:r>
        <w:t xml:space="preserve"> </w:t>
      </w:r>
      <w:r>
        <w:rPr>
          <w:i/>
        </w:rPr>
        <w:t xml:space="preserve">n</w:t>
      </w:r>
      <w:r>
        <w:t xml:space="preserve"> </w:t>
      </w:r>
      <w:r>
        <w:t xml:space="preserve">= 149) and during the transition from dry to wet seasons (first-flush event, R</w:t>
      </w:r>
      <w:r>
        <w:rPr>
          <w:vertAlign w:val="superscript"/>
        </w:rPr>
        <w:t xml:space="preserve">2</w:t>
      </w:r>
      <w:r>
        <w:t xml:space="preserve"> </w:t>
      </w:r>
      <w:r>
        <w:t xml:space="preserve">= 0.916,</w:t>
      </w:r>
      <w:r>
        <w:t xml:space="preserve"> </w:t>
      </w:r>
      <w:r>
        <w:rPr>
          <w:i/>
        </w:rPr>
        <w:t xml:space="preserve">n</w:t>
      </w:r>
      <w:r>
        <w:t xml:space="preserve"> </w:t>
      </w:r>
      <w:r>
        <w:t xml:space="preserve">= 14), but the relationship between DOC concentration and SAC</w:t>
      </w:r>
      <w:r>
        <w:rPr>
          <w:vertAlign w:val="subscript"/>
        </w:rPr>
        <w:t xml:space="preserve">254</w:t>
      </w:r>
      <w:r>
        <w:t xml:space="preserve"> </w:t>
      </w:r>
      <w:r>
        <w:t xml:space="preserve">was weak during the dry season (R</w:t>
      </w:r>
      <w:r>
        <w:rPr>
          <w:vertAlign w:val="superscript"/>
        </w:rPr>
        <w:t xml:space="preserve">2</w:t>
      </w:r>
      <w:r>
        <w:t xml:space="preserve"> </w:t>
      </w:r>
      <w:r>
        <w:t xml:space="preserve">= 0.396,</w:t>
      </w:r>
      <w:r>
        <w:t xml:space="preserve"> </w:t>
      </w:r>
      <w:r>
        <w:rPr>
          <w:i/>
        </w:rPr>
        <w:t xml:space="preserve">n</w:t>
      </w:r>
      <w:r>
        <w:t xml:space="preserve"> </w:t>
      </w:r>
      <w:r>
        <w:t xml:space="preserve">= 25).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w:t>
      </w:r>
      <w:r>
        <w:t xml:space="preserve"> </w:t>
      </w:r>
      <w:r>
        <w:t xml:space="preserve">11</w:t>
      </w:r>
      <w:r>
        <w:t xml:space="preserve">).</w:t>
      </w:r>
    </w:p>
    <w:p>
      <w:pPr>
        <w:pStyle w:val="BodyText"/>
      </w:pPr>
      <w:r>
        <w:t xml:space="preserve"> </w:t>
      </w:r>
    </w:p>
    <w:p>
      <w:pPr>
        <w:pStyle w:val="TableCaption"/>
      </w:pPr>
      <w:r>
        <w:t xml:space="preserve">Table 11: Sample Summary by Season for NOM Concentration (DOC) and Character (SAC</w:t>
      </w:r>
      <w:r>
        <w:rPr>
          <w:vertAlign w:val="subscript"/>
        </w:rPr>
        <w:t xml:space="preserve">254</w:t>
      </w:r>
      <w:r>
        <w:t xml:space="preserve">) from Twelve Synoptic Sampling Sites Across the Greater Victoria Water Supply Area</w:t>
      </w:r>
    </w:p>
    <w:tbl>
      <w:tblPr>
        <w:tblStyle w:val="Table"/>
        <w:tblW w:type="pct" w:w="0.0"/>
        <w:tblLook w:firstRow="1"/>
        <w:tblCaption w:val="Table 11: Sample Summary by Season for NOM Concentration (DOC) and Character (SAC254) from Twelve Synoptic Sampling Sites Across the Greater Victoria Water Supply Area"/>
      </w:tblPr>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dry</w:t>
            </w:r>
          </w:p>
        </w:tc>
        <w:tc>
          <w:p>
            <w:pPr>
              <w:pStyle w:val="Compact"/>
              <w:jc w:val="right"/>
            </w:pPr>
            <w:r>
              <w:t xml:space="preserve">55</w:t>
            </w:r>
          </w:p>
        </w:tc>
        <w:tc>
          <w:p>
            <w:pPr>
              <w:pStyle w:val="Compact"/>
              <w:jc w:val="left"/>
            </w:pPr>
            <w:r>
              <w:t xml:space="preserve">6.13 ± 49%</w:t>
            </w:r>
          </w:p>
        </w:tc>
        <w:tc>
          <w:p>
            <w:pPr>
              <w:pStyle w:val="Compact"/>
              <w:jc w:val="right"/>
            </w:pPr>
            <w:r>
              <w:t xml:space="preserve">1.64</w:t>
            </w:r>
          </w:p>
        </w:tc>
        <w:tc>
          <w:p>
            <w:pPr>
              <w:pStyle w:val="Compact"/>
              <w:jc w:val="right"/>
            </w:pPr>
            <w:r>
              <w:t xml:space="preserve">6.07</w:t>
            </w:r>
          </w:p>
        </w:tc>
        <w:tc>
          <w:p>
            <w:pPr>
              <w:pStyle w:val="Compact"/>
              <w:jc w:val="right"/>
            </w:pPr>
            <w:r>
              <w:t xml:space="preserve">12.81</w:t>
            </w:r>
          </w:p>
        </w:tc>
        <w:tc>
          <w:p>
            <w:pPr>
              <w:pStyle w:val="Compact"/>
              <w:jc w:val="right"/>
            </w:pPr>
            <w:r>
              <w:t xml:space="preserve">25</w:t>
            </w:r>
          </w:p>
        </w:tc>
        <w:tc>
          <w:p>
            <w:pPr>
              <w:pStyle w:val="Compact"/>
              <w:jc w:val="left"/>
            </w:pPr>
            <w:r>
              <w:t xml:space="preserve">8.99 ± 63%</w:t>
            </w:r>
          </w:p>
        </w:tc>
        <w:tc>
          <w:p>
            <w:pPr>
              <w:pStyle w:val="Compact"/>
              <w:jc w:val="right"/>
            </w:pPr>
            <w:r>
              <w:t xml:space="preserve">4.69</w:t>
            </w:r>
          </w:p>
        </w:tc>
        <w:tc>
          <w:p>
            <w:pPr>
              <w:pStyle w:val="Compact"/>
              <w:jc w:val="right"/>
            </w:pPr>
            <w:r>
              <w:t xml:space="preserve">7.04</w:t>
            </w:r>
          </w:p>
        </w:tc>
        <w:tc>
          <w:p>
            <w:pPr>
              <w:pStyle w:val="Compact"/>
              <w:jc w:val="right"/>
            </w:pPr>
            <w:r>
              <w:t xml:space="preserve">27.73</w:t>
            </w:r>
          </w:p>
        </w:tc>
      </w:tr>
      <w:tr>
        <w:tc>
          <w:p>
            <w:pPr>
              <w:pStyle w:val="Compact"/>
              <w:jc w:val="left"/>
            </w:pPr>
            <w:r>
              <w:t xml:space="preserve">wet</w:t>
            </w:r>
          </w:p>
        </w:tc>
        <w:tc>
          <w:p>
            <w:pPr>
              <w:pStyle w:val="Compact"/>
              <w:jc w:val="right"/>
            </w:pPr>
            <w:r>
              <w:t xml:space="preserve">311</w:t>
            </w:r>
          </w:p>
        </w:tc>
        <w:tc>
          <w:p>
            <w:pPr>
              <w:pStyle w:val="Compact"/>
              <w:jc w:val="left"/>
            </w:pPr>
            <w:r>
              <w:t xml:space="preserve">6.14 ± 47%</w:t>
            </w:r>
          </w:p>
        </w:tc>
        <w:tc>
          <w:p>
            <w:pPr>
              <w:pStyle w:val="Compact"/>
              <w:jc w:val="right"/>
            </w:pPr>
            <w:r>
              <w:t xml:space="preserve">1.84</w:t>
            </w:r>
          </w:p>
        </w:tc>
        <w:tc>
          <w:p>
            <w:pPr>
              <w:pStyle w:val="Compact"/>
              <w:jc w:val="right"/>
            </w:pPr>
            <w:r>
              <w:t xml:space="preserve">5.60</w:t>
            </w:r>
          </w:p>
        </w:tc>
        <w:tc>
          <w:p>
            <w:pPr>
              <w:pStyle w:val="Compact"/>
              <w:jc w:val="right"/>
            </w:pPr>
            <w:r>
              <w:t xml:space="preserve">19.07</w:t>
            </w:r>
          </w:p>
        </w:tc>
        <w:tc>
          <w:p>
            <w:pPr>
              <w:pStyle w:val="Compact"/>
              <w:jc w:val="right"/>
            </w:pPr>
            <w:r>
              <w:t xml:space="preserve">139</w:t>
            </w:r>
          </w:p>
        </w:tc>
        <w:tc>
          <w:p>
            <w:pPr>
              <w:pStyle w:val="Compact"/>
              <w:jc w:val="left"/>
            </w:pPr>
            <w:r>
              <w:t xml:space="preserve">18.33 ± 44%</w:t>
            </w:r>
          </w:p>
        </w:tc>
        <w:tc>
          <w:p>
            <w:pPr>
              <w:pStyle w:val="Compact"/>
              <w:jc w:val="right"/>
            </w:pPr>
            <w:r>
              <w:t xml:space="preserve">6.85</w:t>
            </w:r>
          </w:p>
        </w:tc>
        <w:tc>
          <w:p>
            <w:pPr>
              <w:pStyle w:val="Compact"/>
              <w:jc w:val="right"/>
            </w:pPr>
            <w:r>
              <w:t xml:space="preserve">16.31</w:t>
            </w:r>
          </w:p>
        </w:tc>
        <w:tc>
          <w:p>
            <w:pPr>
              <w:pStyle w:val="Compact"/>
              <w:jc w:val="right"/>
            </w:pPr>
            <w:r>
              <w:t xml:space="preserve">41.66</w:t>
            </w:r>
          </w:p>
        </w:tc>
      </w:tr>
      <w:tr>
        <w:tc>
          <w:p>
            <w:pPr>
              <w:pStyle w:val="Compact"/>
              <w:jc w:val="left"/>
            </w:pPr>
            <w:r>
              <w:t xml:space="preserve">overall</w:t>
            </w:r>
          </w:p>
        </w:tc>
        <w:tc>
          <w:p>
            <w:pPr>
              <w:pStyle w:val="Compact"/>
              <w:jc w:val="right"/>
            </w:pPr>
            <w:r>
              <w:t xml:space="preserve">366</w:t>
            </w:r>
          </w:p>
        </w:tc>
        <w:tc>
          <w:p>
            <w:pPr>
              <w:pStyle w:val="Compact"/>
              <w:jc w:val="left"/>
            </w:pPr>
            <w:r>
              <w:t xml:space="preserve">6.14 ± 48%</w:t>
            </w:r>
          </w:p>
        </w:tc>
        <w:tc>
          <w:p>
            <w:pPr>
              <w:pStyle w:val="Compact"/>
              <w:jc w:val="right"/>
            </w:pPr>
            <w:r>
              <w:t xml:space="preserve">1.64</w:t>
            </w:r>
          </w:p>
        </w:tc>
        <w:tc>
          <w:p>
            <w:pPr>
              <w:pStyle w:val="Compact"/>
              <w:jc w:val="right"/>
            </w:pPr>
            <w:r>
              <w:t xml:space="preserve">5.70</w:t>
            </w:r>
          </w:p>
        </w:tc>
        <w:tc>
          <w:p>
            <w:pPr>
              <w:pStyle w:val="Compact"/>
              <w:jc w:val="right"/>
            </w:pPr>
            <w:r>
              <w:t xml:space="preserve">19.07</w:t>
            </w:r>
          </w:p>
        </w:tc>
        <w:tc>
          <w:p>
            <w:pPr>
              <w:pStyle w:val="Compact"/>
              <w:jc w:val="right"/>
            </w:pPr>
            <w:r>
              <w:t xml:space="preserve">164</w:t>
            </w:r>
          </w:p>
        </w:tc>
        <w:tc>
          <w:p>
            <w:pPr>
              <w:pStyle w:val="Compact"/>
              <w:jc w:val="left"/>
            </w:pPr>
            <w:r>
              <w:t xml:space="preserve">16.9 ± 50%</w:t>
            </w:r>
          </w:p>
        </w:tc>
        <w:tc>
          <w:p>
            <w:pPr>
              <w:pStyle w:val="Compact"/>
              <w:jc w:val="right"/>
            </w:pPr>
            <w:r>
              <w:t xml:space="preserve">4.69</w:t>
            </w:r>
          </w:p>
        </w:tc>
        <w:tc>
          <w:p>
            <w:pPr>
              <w:pStyle w:val="Compact"/>
              <w:jc w:val="right"/>
            </w:pPr>
            <w:r>
              <w:t xml:space="preserve">14.87</w:t>
            </w:r>
          </w:p>
        </w:tc>
        <w:tc>
          <w:p>
            <w:pPr>
              <w:pStyle w:val="Compact"/>
              <w:jc w:val="right"/>
            </w:pPr>
            <w:r>
              <w:t xml:space="preserve">41.66</w:t>
            </w:r>
          </w:p>
        </w:tc>
      </w:tr>
    </w:tbl>
    <w:p>
      <w:pPr>
        <w:pStyle w:val="BodyText"/>
      </w:pPr>
      <w:r>
        <w:t xml:space="preserve"> </w:t>
      </w:r>
    </w:p>
    <w:p>
      <w:pPr>
        <w:pStyle w:val="CaptionedFigure"/>
      </w:pPr>
      <w:r>
        <w:drawing>
          <wp:inline>
            <wp:extent cx="4128561" cy="4128561"/>
            <wp:effectExtent b="0" l="0" r="0" t="0"/>
            <wp:docPr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title="" id="1" name="Picture"/>
            <a:graphic>
              <a:graphicData uri="http://schemas.openxmlformats.org/drawingml/2006/picture">
                <pic:pic>
                  <pic:nvPicPr>
                    <pic:cNvPr descr="R-outputs_UBC-forWater-MSc_HMc/figures/Ch3_DOC-SAC254_seasonal_with-Inset.png" id="0" name="Picture"/>
                    <pic:cNvPicPr>
                      <a:picLocks noChangeArrowheads="1" noChangeAspect="1"/>
                    </pic:cNvPicPr>
                  </pic:nvPicPr>
                  <pic:blipFill>
                    <a:blip r:embed="rId76"/>
                    <a:stretch>
                      <a:fillRect/>
                    </a:stretch>
                  </pic:blipFill>
                  <pic:spPr bwMode="auto">
                    <a:xfrm>
                      <a:off x="0" y="0"/>
                      <a:ext cx="4128561" cy="4128561"/>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The inset plot shows DOC (as NPOC) plotted against DOC estimated by the spectro::lyser spectrophotometer through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w:t>
      </w:r>
      <w:r>
        <w:t xml:space="preserve"> </w:t>
      </w:r>
      <w:r>
        <w:t xml:space="preserve">11</w:t>
      </w:r>
      <w:r>
        <w:t xml:space="preserve">).</w:t>
      </w:r>
    </w:p>
    <w:p>
      <w:pPr>
        <w:pStyle w:val="BodyText"/>
      </w:pPr>
      <w:r>
        <w:t xml:space="preserve"> </w:t>
      </w:r>
    </w:p>
    <w:p>
      <w:pPr>
        <w:pStyle w:val="Heading5"/>
      </w:pPr>
      <w:bookmarkStart w:id="77" w:name="Xe4f5bba6f7a4df2f68c57ee11879d430ca418e6"/>
      <w:r>
        <w:t xml:space="preserve">Spatiotemporal patterns &amp; event-based sampling at six monitoring sites in the Leech watershed</w:t>
      </w:r>
      <w:bookmarkEnd w:id="77"/>
    </w:p>
    <w:p>
      <w:pPr>
        <w:pStyle w:val="FirstParagraph"/>
      </w:pPr>
      <w:r>
        <w:t xml:space="preserve"> </w:t>
      </w:r>
    </w:p>
    <w:p>
      <w:pPr>
        <w:pStyle w:val="BodyText"/>
      </w:pPr>
      <w:r>
        <w:t xml:space="preserve">The most heavily sampled sites were those equipped with Vertical Racks, which collected many samples in the wet season. Isolating sample results from the six monitoring sites during only the wet season allowed for comparison of results from event-based Vertical Rack samples to standard synoptic Grab samples (Table</w:t>
      </w:r>
      <w:r>
        <w:t xml:space="preserve"> </w:t>
      </w:r>
      <w:r>
        <w:t xml:space="preserve">12</w:t>
      </w:r>
      <w:r>
        <w:t xml:space="preserve">). Across the six sites, event-based Rack samples contained higher NOM concentrations on average than Grab samples (6.8 mg/L compared to 5.2 mg/L DOC). Event-based samples also carried NOM with greater aromaticity and reactivity (21.37 m</w:t>
      </w:r>
      <w:r>
        <w:rPr>
          <w:vertAlign w:val="superscript"/>
        </w:rPr>
        <w:t xml:space="preserve">-1</w:t>
      </w:r>
      <w:r>
        <w:t xml:space="preserve">) compared to inter-event samples (17.03 m</w:t>
      </w:r>
      <w:r>
        <w:rPr>
          <w:vertAlign w:val="superscript"/>
        </w:rPr>
        <w:t xml:space="preserve">-1</w:t>
      </w:r>
      <w:r>
        <w:t xml:space="preserve">). A slightly greater variance (relative standard deviation, RSD) in both concentration and character was captured through Grab sampling (±53% DOC and ±44% for SAC</w:t>
      </w:r>
      <w:r>
        <w:rPr>
          <w:vertAlign w:val="subscript"/>
        </w:rPr>
        <w:t xml:space="preserve">254</w:t>
      </w:r>
      <w:r>
        <w:t xml:space="preserve">) compared to Rack sampling (±41% DOC and ±32% for SAC</w:t>
      </w:r>
      <w:r>
        <w:rPr>
          <w:vertAlign w:val="subscript"/>
        </w:rPr>
        <w:t xml:space="preserve">254</w:t>
      </w:r>
      <w:r>
        <w:t xml:space="preserve">). This suggests that stormflow sustained greater concentrations of more aromatic NOM compared to relatively more variable lower concentrations of more aliphatic NOM during inter-event flows. Between Grab and Rack samples, average wet season NOM concentrations were 6.14 mg/L and average SAC</w:t>
      </w:r>
      <w:r>
        <w:rPr>
          <w:vertAlign w:val="subscript"/>
        </w:rPr>
        <w:t xml:space="preserve">254</w:t>
      </w:r>
      <w:r>
        <w:t xml:space="preserve"> </w:t>
      </w:r>
      <w:r>
        <w:t xml:space="preserve">was 18.92 m</w:t>
      </w:r>
      <w:r>
        <w:rPr>
          <w:vertAlign w:val="superscript"/>
        </w:rPr>
        <w:t xml:space="preserve">-1</w:t>
      </w:r>
      <w:r>
        <w:t xml:space="preserve"> </w:t>
      </w:r>
      <w:r>
        <w:t xml:space="preserve">(Table</w:t>
      </w:r>
      <w:r>
        <w:t xml:space="preserve"> </w:t>
      </w:r>
      <w:r>
        <w:t xml:space="preserve">12</w:t>
      </w:r>
      <w:r>
        <w:t xml:space="preserve">).</w:t>
      </w:r>
    </w:p>
    <w:p>
      <w:pPr>
        <w:pStyle w:val="BodyText"/>
      </w:pPr>
      <w:r>
        <w:t xml:space="preserve"> </w:t>
      </w:r>
    </w:p>
    <w:p>
      <w:pPr>
        <w:pStyle w:val="TableCaption"/>
      </w:pPr>
      <w:r>
        <w:t xml:space="preserve">Table 12: Wet Season Dissolved Organic Carbon (DOC) by Sample Collection Method at Six Monitoring Sites in the Leech Watershed</w:t>
      </w:r>
    </w:p>
    <w:tbl>
      <w:tblPr>
        <w:tblStyle w:val="Table"/>
        <w:tblW w:type="pct" w:w="0.0"/>
        <w:tblLook w:firstRow="1"/>
        <w:tblCaption w:val="Table 12: Wet Season Dissolved Organic Carbon (DOC) by Sample Collection Method at Six Monitoring Sites in the Leech Watershed"/>
      </w:tblPr>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Grab</w:t>
            </w:r>
          </w:p>
        </w:tc>
        <w:tc>
          <w:p>
            <w:pPr>
              <w:pStyle w:val="Compact"/>
              <w:jc w:val="right"/>
            </w:pPr>
            <w:r>
              <w:t xml:space="preserve">109</w:t>
            </w:r>
          </w:p>
        </w:tc>
        <w:tc>
          <w:p>
            <w:pPr>
              <w:pStyle w:val="Compact"/>
              <w:jc w:val="left"/>
            </w:pPr>
            <w:r>
              <w:t xml:space="preserve">5.22 ± 53%</w:t>
            </w:r>
          </w:p>
        </w:tc>
        <w:tc>
          <w:p>
            <w:pPr>
              <w:pStyle w:val="Compact"/>
              <w:jc w:val="right"/>
            </w:pPr>
            <w:r>
              <w:t xml:space="preserve">1.84</w:t>
            </w:r>
          </w:p>
        </w:tc>
        <w:tc>
          <w:p>
            <w:pPr>
              <w:pStyle w:val="Compact"/>
              <w:jc w:val="right"/>
            </w:pPr>
            <w:r>
              <w:t xml:space="preserve">4.37</w:t>
            </w:r>
          </w:p>
        </w:tc>
        <w:tc>
          <w:p>
            <w:pPr>
              <w:pStyle w:val="Compact"/>
              <w:jc w:val="right"/>
            </w:pPr>
            <w:r>
              <w:t xml:space="preserve">18.74</w:t>
            </w:r>
          </w:p>
        </w:tc>
        <w:tc>
          <w:p>
            <w:pPr>
              <w:pStyle w:val="Compact"/>
              <w:jc w:val="right"/>
            </w:pPr>
            <w:r>
              <w:t xml:space="preserve">62</w:t>
            </w:r>
          </w:p>
        </w:tc>
        <w:tc>
          <w:p>
            <w:pPr>
              <w:pStyle w:val="Compact"/>
              <w:jc w:val="left"/>
            </w:pPr>
            <w:r>
              <w:t xml:space="preserve">17.03 ± 44%</w:t>
            </w:r>
          </w:p>
        </w:tc>
        <w:tc>
          <w:p>
            <w:pPr>
              <w:pStyle w:val="Compact"/>
              <w:jc w:val="right"/>
            </w:pPr>
            <w:r>
              <w:t xml:space="preserve">7.39</w:t>
            </w:r>
          </w:p>
        </w:tc>
        <w:tc>
          <w:p>
            <w:pPr>
              <w:pStyle w:val="Compact"/>
              <w:jc w:val="right"/>
            </w:pPr>
            <w:r>
              <w:t xml:space="preserve">14.64</w:t>
            </w:r>
          </w:p>
        </w:tc>
        <w:tc>
          <w:p>
            <w:pPr>
              <w:pStyle w:val="Compact"/>
              <w:jc w:val="right"/>
            </w:pPr>
            <w:r>
              <w:t xml:space="preserve">37.07</w:t>
            </w:r>
          </w:p>
        </w:tc>
      </w:tr>
      <w:tr>
        <w:tc>
          <w:p>
            <w:pPr>
              <w:pStyle w:val="Compact"/>
              <w:jc w:val="left"/>
            </w:pPr>
            <w:r>
              <w:t xml:space="preserve">Rack</w:t>
            </w:r>
          </w:p>
        </w:tc>
        <w:tc>
          <w:p>
            <w:pPr>
              <w:pStyle w:val="Compact"/>
              <w:jc w:val="right"/>
            </w:pPr>
            <w:r>
              <w:t xml:space="preserve">170</w:t>
            </w:r>
          </w:p>
        </w:tc>
        <w:tc>
          <w:p>
            <w:pPr>
              <w:pStyle w:val="Compact"/>
              <w:jc w:val="left"/>
            </w:pPr>
            <w:r>
              <w:t xml:space="preserve">6.79 ± 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c>
          <w:p>
            <w:pPr>
              <w:pStyle w:val="Compact"/>
              <w:jc w:val="right"/>
            </w:pPr>
            <w:r>
              <w:t xml:space="preserve">48</w:t>
            </w:r>
          </w:p>
        </w:tc>
        <w:tc>
          <w:p>
            <w:pPr>
              <w:pStyle w:val="Compact"/>
              <w:jc w:val="left"/>
            </w:pPr>
            <w:r>
              <w:t xml:space="preserve">21.37 ± 32%</w:t>
            </w:r>
          </w:p>
        </w:tc>
        <w:tc>
          <w:p>
            <w:pPr>
              <w:pStyle w:val="Compact"/>
              <w:jc w:val="right"/>
            </w:pPr>
            <w:r>
              <w:t xml:space="preserve">10.25</w:t>
            </w:r>
          </w:p>
        </w:tc>
        <w:tc>
          <w:p>
            <w:pPr>
              <w:pStyle w:val="Compact"/>
              <w:jc w:val="right"/>
            </w:pPr>
            <w:r>
              <w:t xml:space="preserve">20.82</w:t>
            </w:r>
          </w:p>
        </w:tc>
        <w:tc>
          <w:p>
            <w:pPr>
              <w:pStyle w:val="Compact"/>
              <w:jc w:val="right"/>
            </w:pPr>
            <w:r>
              <w:t xml:space="preserve">39.82</w:t>
            </w:r>
          </w:p>
        </w:tc>
      </w:tr>
      <w:tr>
        <w:tc>
          <w:p>
            <w:pPr>
              <w:pStyle w:val="Compact"/>
              <w:jc w:val="left"/>
            </w:pPr>
            <w:r>
              <w:t xml:space="preserve">all</w:t>
            </w:r>
          </w:p>
        </w:tc>
        <w:tc>
          <w:p>
            <w:pPr>
              <w:pStyle w:val="Compact"/>
              <w:jc w:val="right"/>
            </w:pPr>
            <w:r>
              <w:t xml:space="preserve">279</w:t>
            </w:r>
          </w:p>
        </w:tc>
        <w:tc>
          <w:p>
            <w:pPr>
              <w:pStyle w:val="Compact"/>
              <w:jc w:val="left"/>
            </w:pPr>
            <w:r>
              <w:t xml:space="preserve">6.17 ± 47%</w:t>
            </w:r>
          </w:p>
        </w:tc>
        <w:tc>
          <w:p>
            <w:pPr>
              <w:pStyle w:val="Compact"/>
              <w:jc w:val="right"/>
            </w:pPr>
            <w:r>
              <w:t xml:space="preserve">1.84</w:t>
            </w:r>
          </w:p>
        </w:tc>
        <w:tc>
          <w:p>
            <w:pPr>
              <w:pStyle w:val="Compact"/>
              <w:jc w:val="right"/>
            </w:pPr>
            <w:r>
              <w:t xml:space="preserve">5.64</w:t>
            </w:r>
          </w:p>
        </w:tc>
        <w:tc>
          <w:p>
            <w:pPr>
              <w:pStyle w:val="Compact"/>
              <w:jc w:val="right"/>
            </w:pPr>
            <w:r>
              <w:t xml:space="preserve">19.07</w:t>
            </w:r>
          </w:p>
        </w:tc>
        <w:tc>
          <w:p>
            <w:pPr>
              <w:pStyle w:val="Compact"/>
              <w:jc w:val="right"/>
            </w:pPr>
            <w:r>
              <w:t xml:space="preserve">110</w:t>
            </w:r>
          </w:p>
        </w:tc>
        <w:tc>
          <w:p>
            <w:pPr>
              <w:pStyle w:val="Compact"/>
              <w:jc w:val="left"/>
            </w:pPr>
            <w:r>
              <w:t xml:space="preserve">18.92 ± 40%</w:t>
            </w:r>
          </w:p>
        </w:tc>
        <w:tc>
          <w:p>
            <w:pPr>
              <w:pStyle w:val="Compact"/>
              <w:jc w:val="right"/>
            </w:pPr>
            <w:r>
              <w:t xml:space="preserve">7.39</w:t>
            </w:r>
          </w:p>
        </w:tc>
        <w:tc>
          <w:p>
            <w:pPr>
              <w:pStyle w:val="Compact"/>
              <w:jc w:val="right"/>
            </w:pPr>
            <w:r>
              <w:t xml:space="preserve">16.84</w:t>
            </w:r>
          </w:p>
        </w:tc>
        <w:tc>
          <w:p>
            <w:pPr>
              <w:pStyle w:val="Compact"/>
              <w:jc w:val="right"/>
            </w:pPr>
            <w:r>
              <w:t xml:space="preserve">39.82</w:t>
            </w:r>
          </w:p>
        </w:tc>
      </w:tr>
    </w:tbl>
    <w:p>
      <w:pPr>
        <w:pStyle w:val="BodyText"/>
      </w:pPr>
      <w:r>
        <w:t xml:space="preserve"> </w:t>
      </w:r>
    </w:p>
    <w:p>
      <w:pPr>
        <w:pStyle w:val="BodyText"/>
      </w:pPr>
      <w:r>
        <w:t xml:space="preserve">Leech-head was the only site where the maximum DOC concentration was obtained by Grab sampling (11.6 mg/L), rather than Rack (max 10.6 mg/L). At all other monitoring sites, event-based samples collected by Vertical Racks had higher mean DOC compared to Grab samples (Table</w:t>
      </w:r>
      <w:r>
        <w:t xml:space="preserve"> </w:t>
      </w:r>
      <w:r>
        <w:t xml:space="preserve">13</w:t>
      </w:r>
      <w:r>
        <w:t xml:space="preserve">). For NOM character, Leech-head and Weeks crk both had slightly higher average aromaticity collected in Grab samples compared to Rack samples; at each of these two sites, the highest minimum concentration was collected by Grab sample (Table</w:t>
      </w:r>
      <w:r>
        <w:t xml:space="preserve"> </w:t>
      </w:r>
      <w:r>
        <w:t xml:space="preserve">13</w:t>
      </w:r>
      <w:r>
        <w:t xml:space="preserve">). The other four monitoring sites all showed greater aromaticity in Vertical Rack samples than in Grab samples.</w:t>
      </w:r>
    </w:p>
    <w:p>
      <w:pPr>
        <w:pStyle w:val="BodyText"/>
      </w:pPr>
      <w:r>
        <w:t xml:space="preserve">Weeks crk had the highest DOC and greatest aromaticity overall. Weeks had slightly higher concentrations occurring during stream rise (10.3 mg/L mean) compared to between events (9.3 mg/L mean). Meanwhile, SAC</w:t>
      </w:r>
      <w:r>
        <w:rPr>
          <w:vertAlign w:val="subscript"/>
        </w:rPr>
        <w:t xml:space="preserve">254</w:t>
      </w:r>
      <w:r>
        <w:t xml:space="preserve"> </w:t>
      </w:r>
      <w:r>
        <w:t xml:space="preserve">in Rack samples was lower with greater variability (28.7 m</w:t>
      </w:r>
      <w:r>
        <w:rPr>
          <w:vertAlign w:val="superscript"/>
        </w:rPr>
        <w:t xml:space="preserve">-1</w:t>
      </w:r>
      <w:r>
        <w:t xml:space="preserve"> </w:t>
      </w:r>
      <w:r>
        <w:t xml:space="preserve">± 47%) compared to Grab samples (33.0 m</w:t>
      </w:r>
      <w:r>
        <w:rPr>
          <w:vertAlign w:val="superscript"/>
        </w:rPr>
        <w:t xml:space="preserve">-1</w:t>
      </w:r>
      <w:r>
        <w:t xml:space="preserve"> </w:t>
      </w:r>
      <w:r>
        <w:t xml:space="preserve">± 9%). A similar pattern was seen downstream at Leech-head, where Rack samples had slightly lower and less consistent aromaticity (24.04 m</w:t>
      </w:r>
      <w:r>
        <w:rPr>
          <w:vertAlign w:val="superscript"/>
        </w:rPr>
        <w:t xml:space="preserve">-1</w:t>
      </w:r>
      <w:r>
        <w:t xml:space="preserve"> </w:t>
      </w:r>
      <w:r>
        <w:t xml:space="preserve">± 26%) than Grab samples (24.92 m</w:t>
      </w:r>
      <w:r>
        <w:rPr>
          <w:vertAlign w:val="superscript"/>
        </w:rPr>
        <w:t xml:space="preserve">-1</w:t>
      </w:r>
      <w:r>
        <w:t xml:space="preserve"> </w:t>
      </w:r>
      <w:r>
        <w:t xml:space="preserve">± 8%). The other sites showed greater aromaticity and higher variance in Rack samples than Grabs (Table</w:t>
      </w:r>
      <w:r>
        <w:t xml:space="preserve"> </w:t>
      </w:r>
      <w:r>
        <w:t xml:space="preserve">13</w:t>
      </w:r>
      <w:r>
        <w:t xml:space="preserve">). The difference observed at the Weeks crk site was likely due to inter-event flows being sustained by more aromatic water from this sub-basin’s wetlands and lake, and event flows being more dilute in character due to precipitation inputs.</w:t>
      </w:r>
    </w:p>
    <w:p>
      <w:pPr>
        <w:pStyle w:val="BodyText"/>
      </w:pPr>
      <w:r>
        <w:t xml:space="preserve">Interestingly, Rack sampling at Weeks crk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w:t>
      </w:r>
      <w:r>
        <w:t xml:space="preserve"> </w:t>
      </w:r>
      <w:r>
        <w:t xml:space="preserve">13</w:t>
      </w:r>
      <w:r>
        <w:t xml:space="preserve">, Figure</w:t>
      </w:r>
      <w:r>
        <w:t xml:space="preserve"> </w:t>
      </w:r>
      <w:r>
        <w:t xml:space="preserve">12</w:t>
      </w:r>
      <w:r>
        <w:t xml:space="preserve">).</w:t>
      </w:r>
    </w:p>
    <w:p>
      <w:pPr>
        <w:pStyle w:val="BodyText"/>
      </w:pPr>
      <w:r>
        <w:t xml:space="preserve"> </w:t>
      </w:r>
    </w:p>
    <w:p>
      <w:pPr>
        <w:pStyle w:val="TableCaption"/>
      </w:pPr>
      <w:r>
        <w:t xml:space="preserve">Table 13: Wet Season Stream NOM Concentration and Character (as DOC &amp; SAC</w:t>
      </w:r>
      <w:r>
        <w:rPr>
          <w:vertAlign w:val="subscript"/>
        </w:rPr>
        <w:t xml:space="preserve">254</w:t>
      </w:r>
      <w:r>
        <w:t xml:space="preserve">, respectively) by Sample Collection Method at Each of the Six Monitoring Sites in the Leech Watershed</w:t>
      </w:r>
    </w:p>
    <w:tbl>
      <w:tblPr>
        <w:tblStyle w:val="Table"/>
        <w:tblW w:type="pct" w:w="0.0"/>
        <w:tblLook w:firstRow="1"/>
        <w:tblCaption w:val="Table 13: Wet Season Stream NOM Concentration and Character (as DOC &amp; SAC254, respectively) by Sample Collection Method at Each of the Six Monitoring Sites in the Leech Watershed"/>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left"/>
            </w:pPr>
            <w:r>
              <w:t xml:space="preserve">9.28 ± 35%</w:t>
            </w:r>
          </w:p>
        </w:tc>
        <w:tc>
          <w:p>
            <w:pPr>
              <w:pStyle w:val="Compact"/>
              <w:jc w:val="right"/>
            </w:pPr>
            <w:r>
              <w:t xml:space="preserve">6.38</w:t>
            </w:r>
          </w:p>
        </w:tc>
        <w:tc>
          <w:p>
            <w:pPr>
              <w:pStyle w:val="Compact"/>
              <w:jc w:val="right"/>
            </w:pPr>
            <w:r>
              <w:t xml:space="preserve">8.88</w:t>
            </w:r>
          </w:p>
        </w:tc>
        <w:tc>
          <w:p>
            <w:pPr>
              <w:pStyle w:val="Compact"/>
              <w:jc w:val="right"/>
            </w:pPr>
            <w:r>
              <w:t xml:space="preserve">18.74</w:t>
            </w:r>
          </w:p>
        </w:tc>
        <w:tc>
          <w:p>
            <w:pPr>
              <w:pStyle w:val="Compact"/>
              <w:jc w:val="right"/>
            </w:pPr>
            <w:r>
              <w:t xml:space="preserve">7</w:t>
            </w:r>
          </w:p>
        </w:tc>
        <w:tc>
          <w:p>
            <w:pPr>
              <w:pStyle w:val="Compact"/>
              <w:jc w:val="left"/>
            </w:pPr>
            <w:r>
              <w:t xml:space="preserve">33.04 ± 9%</w:t>
            </w:r>
          </w:p>
        </w:tc>
        <w:tc>
          <w:p>
            <w:pPr>
              <w:pStyle w:val="Compact"/>
              <w:jc w:val="right"/>
            </w:pPr>
            <w:r>
              <w:t xml:space="preserve">29.62</w:t>
            </w:r>
          </w:p>
        </w:tc>
        <w:tc>
          <w:p>
            <w:pPr>
              <w:pStyle w:val="Compact"/>
              <w:jc w:val="right"/>
            </w:pPr>
            <w:r>
              <w:t xml:space="preserve">34.31</w:t>
            </w:r>
          </w:p>
        </w:tc>
        <w:tc>
          <w:p>
            <w:pPr>
              <w:pStyle w:val="Compact"/>
              <w:jc w:val="right"/>
            </w:pPr>
            <w:r>
              <w:t xml:space="preserve">37.07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left"/>
            </w:pPr>
            <w:r>
              <w:t xml:space="preserve">10.25 ± 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c>
          <w:p>
            <w:pPr>
              <w:pStyle w:val="Compact"/>
              <w:jc w:val="right"/>
            </w:pPr>
            <w:r>
              <w:t xml:space="preserve">5</w:t>
            </w:r>
          </w:p>
        </w:tc>
        <w:tc>
          <w:p>
            <w:pPr>
              <w:pStyle w:val="Compact"/>
              <w:jc w:val="left"/>
            </w:pPr>
            <w:r>
              <w:t xml:space="preserve">28.73 ± 47%</w:t>
            </w:r>
          </w:p>
        </w:tc>
        <w:tc>
          <w:p>
            <w:pPr>
              <w:pStyle w:val="Compact"/>
              <w:jc w:val="right"/>
            </w:pPr>
            <w:r>
              <w:t xml:space="preserve">12.49</w:t>
            </w:r>
          </w:p>
        </w:tc>
        <w:tc>
          <w:p>
            <w:pPr>
              <w:pStyle w:val="Compact"/>
              <w:jc w:val="right"/>
            </w:pPr>
            <w:r>
              <w:t xml:space="preserve">37.28</w:t>
            </w:r>
          </w:p>
        </w:tc>
        <w:tc>
          <w:p>
            <w:pPr>
              <w:pStyle w:val="Compact"/>
              <w:jc w:val="right"/>
            </w:pPr>
            <w:r>
              <w:t xml:space="preserve">39.82</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left"/>
            </w:pPr>
            <w:r>
              <w:t xml:space="preserve">3.62 ± 55%</w:t>
            </w:r>
          </w:p>
        </w:tc>
        <w:tc>
          <w:p>
            <w:pPr>
              <w:pStyle w:val="Compact"/>
              <w:jc w:val="right"/>
            </w:pPr>
            <w:r>
              <w:t xml:space="preserve">1.84</w:t>
            </w:r>
          </w:p>
        </w:tc>
        <w:tc>
          <w:p>
            <w:pPr>
              <w:pStyle w:val="Compact"/>
              <w:jc w:val="right"/>
            </w:pPr>
            <w:r>
              <w:t xml:space="preserve">2.78</w:t>
            </w:r>
          </w:p>
        </w:tc>
        <w:tc>
          <w:p>
            <w:pPr>
              <w:pStyle w:val="Compact"/>
              <w:jc w:val="right"/>
            </w:pPr>
            <w:r>
              <w:t xml:space="preserve">9.04</w:t>
            </w:r>
          </w:p>
        </w:tc>
        <w:tc>
          <w:p>
            <w:pPr>
              <w:pStyle w:val="Compact"/>
              <w:jc w:val="right"/>
            </w:pPr>
            <w:r>
              <w:t xml:space="preserve">8</w:t>
            </w:r>
          </w:p>
        </w:tc>
        <w:tc>
          <w:p>
            <w:pPr>
              <w:pStyle w:val="Compact"/>
              <w:jc w:val="left"/>
            </w:pPr>
            <w:r>
              <w:t xml:space="preserve">10.34 ± 17%</w:t>
            </w:r>
          </w:p>
        </w:tc>
        <w:tc>
          <w:p>
            <w:pPr>
              <w:pStyle w:val="Compact"/>
              <w:jc w:val="right"/>
            </w:pPr>
            <w:r>
              <w:t xml:space="preserve">7.39</w:t>
            </w:r>
          </w:p>
        </w:tc>
        <w:tc>
          <w:p>
            <w:pPr>
              <w:pStyle w:val="Compact"/>
              <w:jc w:val="right"/>
            </w:pPr>
            <w:r>
              <w:t xml:space="preserve">10.26</w:t>
            </w:r>
          </w:p>
        </w:tc>
        <w:tc>
          <w:p>
            <w:pPr>
              <w:pStyle w:val="Compact"/>
              <w:jc w:val="right"/>
            </w:pPr>
            <w:r>
              <w:t xml:space="preserve">13.52</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left"/>
            </w:pPr>
            <w:r>
              <w:t xml:space="preserve">5.52 ± 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c>
          <w:p>
            <w:pPr>
              <w:pStyle w:val="Compact"/>
              <w:jc w:val="right"/>
            </w:pPr>
            <w:r>
              <w:t xml:space="preserve">7</w:t>
            </w:r>
          </w:p>
        </w:tc>
        <w:tc>
          <w:p>
            <w:pPr>
              <w:pStyle w:val="Compact"/>
              <w:jc w:val="left"/>
            </w:pPr>
            <w:r>
              <w:t xml:space="preserve">19.95 ± 32%</w:t>
            </w:r>
          </w:p>
        </w:tc>
        <w:tc>
          <w:p>
            <w:pPr>
              <w:pStyle w:val="Compact"/>
              <w:jc w:val="right"/>
            </w:pPr>
            <w:r>
              <w:t xml:space="preserve">10.25</w:t>
            </w:r>
          </w:p>
        </w:tc>
        <w:tc>
          <w:p>
            <w:pPr>
              <w:pStyle w:val="Compact"/>
              <w:jc w:val="right"/>
            </w:pPr>
            <w:r>
              <w:t xml:space="preserve">19.47</w:t>
            </w:r>
          </w:p>
        </w:tc>
        <w:tc>
          <w:p>
            <w:pPr>
              <w:pStyle w:val="Compact"/>
              <w:jc w:val="right"/>
            </w:pPr>
            <w:r>
              <w:t xml:space="preserve">30.72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left"/>
            </w:pPr>
            <w:r>
              <w:t xml:space="preserve">7.13 ± 27%</w:t>
            </w:r>
          </w:p>
        </w:tc>
        <w:tc>
          <w:p>
            <w:pPr>
              <w:pStyle w:val="Compact"/>
              <w:jc w:val="right"/>
            </w:pPr>
            <w:r>
              <w:t xml:space="preserve">4.87</w:t>
            </w:r>
          </w:p>
        </w:tc>
        <w:tc>
          <w:p>
            <w:pPr>
              <w:pStyle w:val="Compact"/>
              <w:jc w:val="right"/>
            </w:pPr>
            <w:r>
              <w:t xml:space="preserve">6.19</w:t>
            </w:r>
          </w:p>
        </w:tc>
        <w:tc>
          <w:p>
            <w:pPr>
              <w:pStyle w:val="Compact"/>
              <w:jc w:val="right"/>
            </w:pPr>
            <w:r>
              <w:t xml:space="preserve">11.64</w:t>
            </w:r>
          </w:p>
        </w:tc>
        <w:tc>
          <w:p>
            <w:pPr>
              <w:pStyle w:val="Compact"/>
              <w:jc w:val="right"/>
            </w:pPr>
            <w:r>
              <w:t xml:space="preserve">7</w:t>
            </w:r>
          </w:p>
        </w:tc>
        <w:tc>
          <w:p>
            <w:pPr>
              <w:pStyle w:val="Compact"/>
              <w:jc w:val="left"/>
            </w:pPr>
            <w:r>
              <w:t xml:space="preserve">24.92 ± 8%</w:t>
            </w:r>
          </w:p>
        </w:tc>
        <w:tc>
          <w:p>
            <w:pPr>
              <w:pStyle w:val="Compact"/>
              <w:jc w:val="right"/>
            </w:pPr>
            <w:r>
              <w:t xml:space="preserve">22.24</w:t>
            </w:r>
          </w:p>
        </w:tc>
        <w:tc>
          <w:p>
            <w:pPr>
              <w:pStyle w:val="Compact"/>
              <w:jc w:val="right"/>
            </w:pPr>
            <w:r>
              <w:t xml:space="preserve">25.02</w:t>
            </w:r>
          </w:p>
        </w:tc>
        <w:tc>
          <w:p>
            <w:pPr>
              <w:pStyle w:val="Compact"/>
              <w:jc w:val="right"/>
            </w:pPr>
            <w:r>
              <w:t xml:space="preserve">28.23</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left"/>
            </w:pPr>
            <w:r>
              <w:t xml:space="preserve">7.45 ± 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c>
          <w:p>
            <w:pPr>
              <w:pStyle w:val="Compact"/>
              <w:jc w:val="right"/>
            </w:pPr>
            <w:r>
              <w:t xml:space="preserve">6</w:t>
            </w:r>
          </w:p>
        </w:tc>
        <w:tc>
          <w:p>
            <w:pPr>
              <w:pStyle w:val="Compact"/>
              <w:jc w:val="left"/>
            </w:pPr>
            <w:r>
              <w:t xml:space="preserve">24.04 ± 26%</w:t>
            </w:r>
          </w:p>
        </w:tc>
        <w:tc>
          <w:p>
            <w:pPr>
              <w:pStyle w:val="Compact"/>
              <w:jc w:val="right"/>
            </w:pPr>
            <w:r>
              <w:t xml:space="preserve">11.69</w:t>
            </w:r>
          </w:p>
        </w:tc>
        <w:tc>
          <w:p>
            <w:pPr>
              <w:pStyle w:val="Compact"/>
              <w:jc w:val="right"/>
            </w:pPr>
            <w:r>
              <w:t xml:space="preserve">25.54</w:t>
            </w:r>
          </w:p>
        </w:tc>
        <w:tc>
          <w:p>
            <w:pPr>
              <w:pStyle w:val="Compact"/>
              <w:jc w:val="right"/>
            </w:pPr>
            <w:r>
              <w:t xml:space="preserve">29.03</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left"/>
            </w:pPr>
            <w:r>
              <w:t xml:space="preserve">4.1 ± 32%</w:t>
            </w:r>
          </w:p>
        </w:tc>
        <w:tc>
          <w:p>
            <w:pPr>
              <w:pStyle w:val="Compact"/>
              <w:jc w:val="right"/>
            </w:pPr>
            <w:r>
              <w:t xml:space="preserve">2.58</w:t>
            </w:r>
          </w:p>
        </w:tc>
        <w:tc>
          <w:p>
            <w:pPr>
              <w:pStyle w:val="Compact"/>
              <w:jc w:val="right"/>
            </w:pPr>
            <w:r>
              <w:t xml:space="preserve">3.64</w:t>
            </w:r>
          </w:p>
        </w:tc>
        <w:tc>
          <w:p>
            <w:pPr>
              <w:pStyle w:val="Compact"/>
              <w:jc w:val="right"/>
            </w:pPr>
            <w:r>
              <w:t xml:space="preserve">7.47</w:t>
            </w:r>
          </w:p>
        </w:tc>
        <w:tc>
          <w:p>
            <w:pPr>
              <w:pStyle w:val="Compact"/>
              <w:jc w:val="right"/>
            </w:pPr>
            <w:r>
              <w:t xml:space="preserve">16</w:t>
            </w:r>
          </w:p>
        </w:tc>
        <w:tc>
          <w:p>
            <w:pPr>
              <w:pStyle w:val="Compact"/>
              <w:jc w:val="left"/>
            </w:pPr>
            <w:r>
              <w:t xml:space="preserve">13.39 ± 30%</w:t>
            </w:r>
          </w:p>
        </w:tc>
        <w:tc>
          <w:p>
            <w:pPr>
              <w:pStyle w:val="Compact"/>
              <w:jc w:val="right"/>
            </w:pPr>
            <w:r>
              <w:t xml:space="preserve">8.73</w:t>
            </w:r>
          </w:p>
        </w:tc>
        <w:tc>
          <w:p>
            <w:pPr>
              <w:pStyle w:val="Compact"/>
              <w:jc w:val="right"/>
            </w:pPr>
            <w:r>
              <w:t xml:space="preserve">12.47</w:t>
            </w:r>
          </w:p>
        </w:tc>
        <w:tc>
          <w:p>
            <w:pPr>
              <w:pStyle w:val="Compact"/>
              <w:jc w:val="right"/>
            </w:pPr>
            <w:r>
              <w:t xml:space="preserve">24.00</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left"/>
            </w:pPr>
            <w:r>
              <w:t xml:space="preserve">5.26 ± 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c>
          <w:p>
            <w:pPr>
              <w:pStyle w:val="Compact"/>
              <w:jc w:val="right"/>
            </w:pPr>
            <w:r>
              <w:t xml:space="preserve">12</w:t>
            </w:r>
          </w:p>
        </w:tc>
        <w:tc>
          <w:p>
            <w:pPr>
              <w:pStyle w:val="Compact"/>
              <w:jc w:val="left"/>
            </w:pPr>
            <w:r>
              <w:t xml:space="preserve">17.98 ± 25%</w:t>
            </w:r>
          </w:p>
        </w:tc>
        <w:tc>
          <w:p>
            <w:pPr>
              <w:pStyle w:val="Compact"/>
              <w:jc w:val="right"/>
            </w:pPr>
            <w:r>
              <w:t xml:space="preserve">12.13</w:t>
            </w:r>
          </w:p>
        </w:tc>
        <w:tc>
          <w:p>
            <w:pPr>
              <w:pStyle w:val="Compact"/>
              <w:jc w:val="right"/>
            </w:pPr>
            <w:r>
              <w:t xml:space="preserve">17.10</w:t>
            </w:r>
          </w:p>
        </w:tc>
        <w:tc>
          <w:p>
            <w:pPr>
              <w:pStyle w:val="Compact"/>
              <w:jc w:val="right"/>
            </w:pPr>
            <w:r>
              <w:t xml:space="preserve">24.87</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left"/>
            </w:pPr>
            <w:r>
              <w:t xml:space="preserve">4.18 ± 45%</w:t>
            </w:r>
          </w:p>
        </w:tc>
        <w:tc>
          <w:p>
            <w:pPr>
              <w:pStyle w:val="Compact"/>
              <w:jc w:val="right"/>
            </w:pPr>
            <w:r>
              <w:t xml:space="preserve">2.33</w:t>
            </w:r>
          </w:p>
        </w:tc>
        <w:tc>
          <w:p>
            <w:pPr>
              <w:pStyle w:val="Compact"/>
              <w:jc w:val="right"/>
            </w:pPr>
            <w:r>
              <w:t xml:space="preserve">3.47</w:t>
            </w:r>
          </w:p>
        </w:tc>
        <w:tc>
          <w:p>
            <w:pPr>
              <w:pStyle w:val="Compact"/>
              <w:jc w:val="right"/>
            </w:pPr>
            <w:r>
              <w:t xml:space="preserve">9.08</w:t>
            </w:r>
          </w:p>
        </w:tc>
        <w:tc>
          <w:p>
            <w:pPr>
              <w:pStyle w:val="Compact"/>
              <w:jc w:val="right"/>
            </w:pPr>
            <w:r>
              <w:t xml:space="preserve">9</w:t>
            </w:r>
          </w:p>
        </w:tc>
        <w:tc>
          <w:p>
            <w:pPr>
              <w:pStyle w:val="Compact"/>
              <w:jc w:val="left"/>
            </w:pPr>
            <w:r>
              <w:t xml:space="preserve">14.6 ± 23%</w:t>
            </w:r>
          </w:p>
        </w:tc>
        <w:tc>
          <w:p>
            <w:pPr>
              <w:pStyle w:val="Compact"/>
              <w:jc w:val="right"/>
            </w:pPr>
            <w:r>
              <w:t xml:space="preserve">10.24</w:t>
            </w:r>
          </w:p>
        </w:tc>
        <w:tc>
          <w:p>
            <w:pPr>
              <w:pStyle w:val="Compact"/>
              <w:jc w:val="right"/>
            </w:pPr>
            <w:r>
              <w:t xml:space="preserve">15.35</w:t>
            </w:r>
          </w:p>
        </w:tc>
        <w:tc>
          <w:p>
            <w:pPr>
              <w:pStyle w:val="Compact"/>
              <w:jc w:val="right"/>
            </w:pPr>
            <w:r>
              <w:t xml:space="preserve">20.22</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left"/>
            </w:pPr>
            <w:r>
              <w:t xml:space="preserve">6.67 ± 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c>
          <w:p>
            <w:pPr>
              <w:pStyle w:val="Compact"/>
              <w:jc w:val="right"/>
            </w:pPr>
            <w:r>
              <w:t xml:space="preserve">6</w:t>
            </w:r>
          </w:p>
        </w:tc>
        <w:tc>
          <w:p>
            <w:pPr>
              <w:pStyle w:val="Compact"/>
              <w:jc w:val="left"/>
            </w:pPr>
            <w:r>
              <w:t xml:space="preserve">20.78 ± 29%</w:t>
            </w:r>
          </w:p>
        </w:tc>
        <w:tc>
          <w:p>
            <w:pPr>
              <w:pStyle w:val="Compact"/>
              <w:jc w:val="right"/>
            </w:pPr>
            <w:r>
              <w:t xml:space="preserve">14.53</w:t>
            </w:r>
          </w:p>
        </w:tc>
        <w:tc>
          <w:p>
            <w:pPr>
              <w:pStyle w:val="Compact"/>
              <w:jc w:val="right"/>
            </w:pPr>
            <w:r>
              <w:t xml:space="preserve">18.87</w:t>
            </w:r>
          </w:p>
        </w:tc>
        <w:tc>
          <w:p>
            <w:pPr>
              <w:pStyle w:val="Compact"/>
              <w:jc w:val="right"/>
            </w:pPr>
            <w:r>
              <w:t xml:space="preserve">31.18</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left"/>
            </w:pPr>
            <w:r>
              <w:t xml:space="preserve">4.28 ± 34%</w:t>
            </w:r>
          </w:p>
        </w:tc>
        <w:tc>
          <w:p>
            <w:pPr>
              <w:pStyle w:val="Compact"/>
              <w:jc w:val="right"/>
            </w:pPr>
            <w:r>
              <w:t xml:space="preserve">2.19</w:t>
            </w:r>
          </w:p>
        </w:tc>
        <w:tc>
          <w:p>
            <w:pPr>
              <w:pStyle w:val="Compact"/>
              <w:jc w:val="right"/>
            </w:pPr>
            <w:r>
              <w:t xml:space="preserve">3.71</w:t>
            </w:r>
          </w:p>
        </w:tc>
        <w:tc>
          <w:p>
            <w:pPr>
              <w:pStyle w:val="Compact"/>
              <w:jc w:val="right"/>
            </w:pPr>
            <w:r>
              <w:t xml:space="preserve">8.85</w:t>
            </w:r>
          </w:p>
        </w:tc>
        <w:tc>
          <w:p>
            <w:pPr>
              <w:pStyle w:val="Compact"/>
              <w:jc w:val="right"/>
            </w:pPr>
            <w:r>
              <w:t xml:space="preserve">15</w:t>
            </w:r>
          </w:p>
        </w:tc>
        <w:tc>
          <w:p>
            <w:pPr>
              <w:pStyle w:val="Compact"/>
              <w:jc w:val="left"/>
            </w:pPr>
            <w:r>
              <w:t xml:space="preserve">14.77 ± 15%</w:t>
            </w:r>
          </w:p>
        </w:tc>
        <w:tc>
          <w:p>
            <w:pPr>
              <w:pStyle w:val="Compact"/>
              <w:jc w:val="right"/>
            </w:pPr>
            <w:r>
              <w:t xml:space="preserve">11.08</w:t>
            </w:r>
          </w:p>
        </w:tc>
        <w:tc>
          <w:p>
            <w:pPr>
              <w:pStyle w:val="Compact"/>
              <w:jc w:val="right"/>
            </w:pPr>
            <w:r>
              <w:t xml:space="preserve">14.42</w:t>
            </w:r>
          </w:p>
        </w:tc>
        <w:tc>
          <w:p>
            <w:pPr>
              <w:pStyle w:val="Compact"/>
              <w:jc w:val="right"/>
            </w:pPr>
            <w:r>
              <w:t xml:space="preserve">19.02</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left"/>
            </w:pPr>
            <w:r>
              <w:t xml:space="preserve">5.6 ± 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c>
          <w:p>
            <w:pPr>
              <w:pStyle w:val="Compact"/>
              <w:jc w:val="right"/>
            </w:pPr>
            <w:r>
              <w:t xml:space="preserve">12</w:t>
            </w:r>
          </w:p>
        </w:tc>
        <w:tc>
          <w:p>
            <w:pPr>
              <w:pStyle w:val="Compact"/>
              <w:jc w:val="left"/>
            </w:pPr>
            <w:r>
              <w:t xml:space="preserve">21.47 ± 21%</w:t>
            </w:r>
          </w:p>
        </w:tc>
        <w:tc>
          <w:p>
            <w:pPr>
              <w:pStyle w:val="Compact"/>
              <w:jc w:val="right"/>
            </w:pPr>
            <w:r>
              <w:t xml:space="preserve">14.29</w:t>
            </w:r>
          </w:p>
        </w:tc>
        <w:tc>
          <w:p>
            <w:pPr>
              <w:pStyle w:val="Compact"/>
              <w:jc w:val="right"/>
            </w:pPr>
            <w:r>
              <w:t xml:space="preserve">21.34</w:t>
            </w:r>
          </w:p>
        </w:tc>
        <w:tc>
          <w:p>
            <w:pPr>
              <w:pStyle w:val="Compact"/>
              <w:jc w:val="right"/>
            </w:pPr>
            <w:r>
              <w:t xml:space="preserve">27.49</w:t>
            </w:r>
          </w:p>
        </w:tc>
      </w:tr>
    </w:tbl>
    <w:p>
      <w:pPr>
        <w:pStyle w:val="BodyText"/>
      </w:pPr>
      <w:r>
        <w:t xml:space="preserve"> </w:t>
      </w:r>
    </w:p>
    <w:p>
      <w:pPr>
        <w:pStyle w:val="CaptionedFigure"/>
      </w:pPr>
      <w:r>
        <w:drawing>
          <wp:inline>
            <wp:extent cx="5943600" cy="3820885"/>
            <wp:effectExtent b="0" l="0" r="0" t="0"/>
            <wp:docPr descr="Figure 12:  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254), which indicates NOM aromaticity and reactivity." title="" id="1" name="Picture"/>
            <a:graphic>
              <a:graphicData uri="http://schemas.openxmlformats.org/drawingml/2006/picture">
                <pic:pic>
                  <pic:nvPicPr>
                    <pic:cNvPr descr="R-outputs_UBC-forWater-MSc_HMc/figures/Ch3_subbasin_GvsR_WETseason-ridgeplot.png" id="0" name="Picture"/>
                    <pic:cNvPicPr>
                      <a:picLocks noChangeArrowheads="1" noChangeAspect="1"/>
                    </pic:cNvPicPr>
                  </pic:nvPicPr>
                  <pic:blipFill>
                    <a:blip r:embed="rId78"/>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w:t>
      </w:r>
      <w:r>
        <w:rPr>
          <w:vertAlign w:val="subscript"/>
        </w:rPr>
        <w:t xml:space="preserve">254</w:t>
      </w:r>
      <w:r>
        <w:t xml:space="preserve">), which indicates NOM aromaticity and reactivity.</w:t>
      </w:r>
    </w:p>
    <w:p>
      <w:pPr>
        <w:pStyle w:val="BodyText"/>
      </w:pPr>
      <w:r>
        <w:t xml:space="preserve"> </w:t>
      </w:r>
    </w:p>
    <w:p>
      <w:pPr>
        <w:pStyle w:val="BodyText"/>
      </w:pPr>
      <w:r>
        <w:t xml:space="preserve"> </w:t>
      </w:r>
    </w:p>
    <w:p>
      <w:pPr>
        <w:pStyle w:val="Heading3"/>
      </w:pPr>
      <w:bookmarkStart w:id="79" w:name="discussion"/>
      <w:r>
        <w:t xml:space="preserve">Discussion</w:t>
      </w:r>
      <w:bookmarkEnd w:id="79"/>
    </w:p>
    <w:p>
      <w:pPr>
        <w:pStyle w:val="FirstParagraph"/>
      </w:pPr>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w:t>
      </w:r>
      <w:r>
        <w:t xml:space="preserve">Yang et al. (</w:t>
      </w:r>
      <w:hyperlink w:anchor="ref-Yang2015">
        <w:r>
          <w:rPr>
            <w:rStyle w:val="Hyperlink"/>
          </w:rPr>
          <w:t xml:space="preserve">2015</w:t>
        </w:r>
      </w:hyperlink>
      <w:r>
        <w:t xml:space="preserve">)</w:t>
      </w:r>
      <w:r>
        <w:t xml:space="preserve">,</w:t>
      </w:r>
      <w:r>
        <w:t xml:space="preserve"> </w:t>
      </w:r>
      <w:r>
        <w:t xml:space="preserve">Raymond et al. (</w:t>
      </w:r>
      <w:hyperlink w:anchor="ref-Raymond2016">
        <w:r>
          <w:rPr>
            <w:rStyle w:val="Hyperlink"/>
          </w:rPr>
          <w:t xml:space="preserve">2016</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While higher mean DOC was observed in event-based samples, they did not have greater variance compared to Grab samples, which was surprising. So, it seems that hydrologic pulses transported higher concentrations which remain relatively stable throughout the rising limb of the hydrograph. In a west coast small-basins (&lt; 1 km</w:t>
      </w:r>
      <w:r>
        <w:rPr>
          <w:vertAlign w:val="superscript"/>
        </w:rPr>
        <w:t xml:space="preserve">2</w:t>
      </w:r>
      <w:r>
        <w:t xml:space="preserve">) study in the H. J. Andrews Experimental Forest (Oregon, CA) pre-storm DOC was measured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Evaluating the Leech WSA monitoring site data more closely with respect to event-based changes would allow for a more detailed understanding of relationships between streamflow and NOM dynamics.</w:t>
      </w:r>
    </w:p>
    <w:p>
      <w:pPr>
        <w:pStyle w:val="BodyText"/>
      </w:pPr>
      <w:r>
        <w:t xml:space="preserve"> </w:t>
      </w:r>
    </w:p>
    <w:p>
      <w:pPr>
        <w:pStyle w:val="BodyText"/>
      </w:pPr>
      <w:r>
        <w:t xml:space="preserve">Rack sampling also more than doubled the number of samples collected when compared to Grab sampling alone. Therefore, the Vertical Rack method was a useful tool for collection of event-based samples with increased sampling frequency.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BodyText"/>
      </w:pPr>
      <w:r>
        <w:t xml:space="preserve">DOC concentrations in the GVWSA were similar to concentrations measured in Malcolm Knapp Research Forest near Maple Ridge on the lower mainland (near Vancouver, BC), where Emily Mistick found a forested basin (0.97 km</w:t>
      </w:r>
      <w:r>
        <w:rPr>
          <w:vertAlign w:val="superscript"/>
        </w:rPr>
        <w:t xml:space="preserve">2</w:t>
      </w:r>
      <w:r>
        <w:t xml:space="preserve">) to have mean baseflow DOC of 4.3 ± 0.8 mg/L with approximately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Heading4"/>
      </w:pPr>
      <w:bookmarkStart w:id="80" w:name="spatial-patterns"/>
      <w:r>
        <w:t xml:space="preserve">Spatial patterns</w:t>
      </w:r>
      <w:bookmarkEnd w:id="80"/>
    </w:p>
    <w:p>
      <w:pPr>
        <w:pStyle w:val="FirstParagraph"/>
      </w:pPr>
      <w:r>
        <w:t xml:space="preserve">Spatially, lower DOC was observed in the streams draining from the east of the Leech WSA catchment (Cragg and Chris crks) and higher DOC was observed in the streams draining from the west (West Leech and Weeks crk). Weeks crk,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w:t>
      </w:r>
    </w:p>
    <w:p>
      <w:pPr>
        <w:pStyle w:val="BodyText"/>
      </w:pPr>
      <w:r>
        <w:t xml:space="preserve"> </w:t>
      </w:r>
    </w:p>
    <w:p>
      <w:pPr>
        <w:pStyle w:val="BodyText"/>
      </w:pPr>
      <w:r>
        <w:t xml:space="preserve">It seems that hydrologic pulses in the West Leech sub-basin created notably different NOM transport than non-stormflow, suggesting that theories of the pulse shunt concept could be particularly relevant in the West Leech sub-basin. Samples from the West Leech site had high aromaticity compared to other higher-order streams and showed considerable event-based changes in NOM concentration (45% difference between Grab and Rack samples) relative to the other monitoring sites; but it was not clear why.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synoptically sampled sub-basin that did not have metamorphic parent-material (wark gneiss). Chapter 4 evaluates watershed features and conditions to identify possible drivers that could explain differences between site’s NOM dynamics.</w:t>
      </w:r>
    </w:p>
    <w:p>
      <w:pPr>
        <w:pStyle w:val="BodyText"/>
      </w:pPr>
      <w:r>
        <w:t xml:space="preserve"> </w:t>
      </w:r>
    </w:p>
    <w:p>
      <w:pPr>
        <w:pStyle w:val="BodyText"/>
      </w:pPr>
      <w:r>
        <w:t xml:space="preserve">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 xml:space="preserve">254</w:t>
      </w:r>
      <w:r>
        <w:t xml:space="preserve"> </w:t>
      </w:r>
      <w:r>
        <w:t xml:space="preserve">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pPr>
        <w:pStyle w:val="BodyText"/>
      </w:pPr>
      <w:r>
        <w:t xml:space="preserve"> </w:t>
      </w:r>
    </w:p>
    <w:p>
      <w:pPr>
        <w:pStyle w:val="Heading4"/>
      </w:pPr>
      <w:bookmarkStart w:id="81" w:name="temporal-patterns"/>
      <w:r>
        <w:t xml:space="preserve">Temporal patterns</w:t>
      </w:r>
      <w:bookmarkEnd w:id="81"/>
    </w:p>
    <w:p>
      <w:pPr>
        <w:pStyle w:val="FirstParagraph"/>
      </w:pPr>
      <w:r>
        <w:t xml:space="preserve"> </w:t>
      </w:r>
    </w:p>
    <w:p>
      <w:pPr>
        <w:pStyle w:val="BodyText"/>
      </w:pPr>
      <w:r>
        <w:t xml:space="preserve">While the absolute magnitude of DOC varied between sites, DOC concentrations across the GVWSA followed a near-sinusoidal pattern over time. DOC was highest in the early wet season, then progressively decreased with lows during the coldest periods. DOC concentrations increased over the summer, reaching highs for the start of the wet season. Overall, there was negligible difference in NOM concentrations between seasons; both wet and dry seasons had mean DOC of 6 ± 3 mg/L. Overall, stream DOC was higher than the recommended 4 mg/L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However, reservoir dynamics would likely alter the concentration and character of stream DOC prior to intake for drinking water treatment.</w:t>
      </w:r>
    </w:p>
    <w:p>
      <w:pPr>
        <w:pStyle w:val="BodyText"/>
      </w:pPr>
      <w:r>
        <w:t xml:space="preserve"> </w:t>
      </w:r>
    </w:p>
    <w:p>
      <w:pPr>
        <w:pStyle w:val="BodyText"/>
      </w:pPr>
      <w:r>
        <w:t xml:space="preserve">While concentrations remained similar on average over seasons, NOM character was considerably more aromatic in the wet season (18.33 m</w:t>
      </w:r>
      <w:r>
        <w:rPr>
          <w:vertAlign w:val="superscript"/>
        </w:rPr>
        <w:t xml:space="preserve">-1</w:t>
      </w:r>
      <w:r>
        <w:t xml:space="preserve"> </w:t>
      </w:r>
      <w:r>
        <w:t xml:space="preserve">± 44%) than in the dry season (8.99 m</w:t>
      </w:r>
      <w:r>
        <w:rPr>
          <w:vertAlign w:val="superscript"/>
        </w:rPr>
        <w:t xml:space="preserve">-1</w:t>
      </w:r>
      <w:r>
        <w:t xml:space="preserve"> </w:t>
      </w:r>
      <w:r>
        <w:t xml:space="preserve">± 63%). Seasonal changes in the relationship between DOC and SAC</w:t>
      </w:r>
      <w:r>
        <w:rPr>
          <w:vertAlign w:val="subscript"/>
        </w:rPr>
        <w:t xml:space="preserve">254</w:t>
      </w:r>
      <w:r>
        <w:t xml:space="preserve"> </w:t>
      </w:r>
      <w:r>
        <w:t xml:space="preserve">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Heading3"/>
      </w:pPr>
      <w:bookmarkStart w:id="82" w:name="summary-and-future-directions"/>
      <w:r>
        <w:t xml:space="preserve">Summary and future directions</w:t>
      </w:r>
      <w:bookmarkEnd w:id="82"/>
    </w:p>
    <w:p>
      <w:pPr>
        <w:pStyle w:val="FirstParagraph"/>
      </w:pPr>
      <w:r>
        <w:t xml:space="preserve">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can achieve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pPr>
        <w:pStyle w:val="BodyText"/>
      </w:pPr>
      <w:r>
        <w:t xml:space="preserve"> </w:t>
      </w:r>
    </w:p>
    <w:p>
      <w:pPr>
        <w:pStyle w:val="Heading2"/>
      </w:pPr>
      <w:bookmarkStart w:id="83" w:name="X9412f07105d07da2acfbf06a052fadb4118a49a"/>
      <w:r>
        <w:t xml:space="preserve">Watershed Characteristics and Sampling Conditions as Driving Forces for Dynamics of Aqueous Natural Organic Matter Across the Leech River Watershed</w:t>
      </w:r>
      <w:bookmarkEnd w:id="83"/>
    </w:p>
    <w:p>
      <w:pPr>
        <w:pStyle w:val="FirstParagraph"/>
      </w:pPr>
      <w:r>
        <w:t xml:space="preserve"> </w:t>
      </w:r>
    </w:p>
    <w:p>
      <w:pPr>
        <w:pStyle w:val="Heading3"/>
      </w:pPr>
      <w:bookmarkStart w:id="84" w:name="synopsis-and-introduction"/>
      <w:r>
        <w:t xml:space="preserve">Synopsis and introduction</w:t>
      </w:r>
      <w:bookmarkEnd w:id="84"/>
    </w:p>
    <w:p>
      <w:pPr>
        <w:pStyle w:val="FirstParagraph"/>
      </w:pPr>
      <w:r>
        <w:t xml:space="preserve">The previous chapter showed that across the Greater Victoria Water Supply Area (GVWSA), the character of natural organic matter (NOM) shifted from aliphatic in the dry season to aromatic during the wet seasons. Additionally, Chapter 3 results confirmed that event-based Rack samples had higher DOC concentrations than standard Grab samples. The seasonal character shift agreed with predictions of the river continuum concept (RCC), as did an observed spatial reduction in NOM molecular diversity from lower-order to higher-order streams</w:t>
      </w:r>
      <w:r>
        <w:t xml:space="preserve"> </w:t>
      </w:r>
      <w:r>
        <w:t xml:space="preserve">(Vannote et al.</w:t>
      </w:r>
      <w:r>
        <w:t xml:space="preserve"> </w:t>
      </w:r>
      <w:hyperlink w:anchor="ref-Vannote1980">
        <w:r>
          <w:rPr>
            <w:rStyle w:val="Hyperlink"/>
          </w:rPr>
          <w:t xml:space="preserve">1980</w:t>
        </w:r>
      </w:hyperlink>
      <w:r>
        <w:t xml:space="preserve">; Abbott et al.</w:t>
      </w:r>
      <w:r>
        <w:t xml:space="preserve"> </w:t>
      </w:r>
      <w:hyperlink w:anchor="ref-Abbott2018">
        <w:r>
          <w:rPr>
            <w:rStyle w:val="Hyperlink"/>
          </w:rPr>
          <w:t xml:space="preserve">2018</w:t>
        </w:r>
      </w:hyperlink>
      <w:r>
        <w:t xml:space="preserve">; Mosher et al.</w:t>
      </w:r>
      <w:r>
        <w:t xml:space="preserve"> </w:t>
      </w:r>
      <w:hyperlink w:anchor="ref-Mosher2015">
        <w:r>
          <w:rPr>
            <w:rStyle w:val="Hyperlink"/>
          </w:rPr>
          <w:t xml:space="preserve">2015</w:t>
        </w:r>
      </w:hyperlink>
      <w:r>
        <w:t xml:space="preserve">; Creed et al.</w:t>
      </w:r>
      <w:r>
        <w:t xml:space="preserve"> </w:t>
      </w:r>
      <w:hyperlink w:anchor="ref-Creed2015">
        <w:r>
          <w:rPr>
            <w:rStyle w:val="Hyperlink"/>
          </w:rPr>
          <w:t xml:space="preserve">2015</w:t>
        </w:r>
      </w:hyperlink>
      <w:r>
        <w:t xml:space="preserve">)</w:t>
      </w:r>
      <w:r>
        <w:t xml:space="preserve">. Elevated NOM in stormflow was expected (e.g. </w:t>
      </w:r>
      <w:r>
        <w:t xml:space="preserve">Vidon, Wagner, and Soyeux (</w:t>
      </w:r>
      <w:hyperlink w:anchor="ref-Vidon2008">
        <w:r>
          <w:rPr>
            <w:rStyle w:val="Hyperlink"/>
          </w:rPr>
          <w:t xml:space="preserve">2008</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and is a key aspect of the pulse-shunt concept</w:t>
      </w:r>
      <w:r>
        <w:t xml:space="preserve"> </w:t>
      </w:r>
      <w:r>
        <w:t xml:space="preserve">(Raymond et al.</w:t>
      </w:r>
      <w:r>
        <w:t xml:space="preserve"> </w:t>
      </w:r>
      <w:hyperlink w:anchor="ref-Raymond2016">
        <w:r>
          <w:rPr>
            <w:rStyle w:val="Hyperlink"/>
          </w:rPr>
          <w:t xml:space="preserve">2016</w:t>
        </w:r>
      </w:hyperlink>
      <w:r>
        <w:t xml:space="preserve">)</w:t>
      </w:r>
      <w:r>
        <w:t xml:space="preserve">.</w:t>
      </w:r>
    </w:p>
    <w:p>
      <w:pPr>
        <w:pStyle w:val="BodyText"/>
      </w:pPr>
      <w:r>
        <w:t xml:space="preserve"> </w:t>
      </w:r>
    </w:p>
    <w:p>
      <w:pPr>
        <w:pStyle w:val="BodyText"/>
      </w:pPr>
      <w:r>
        <w:t xml:space="preserve">Of the main tributaries to the Leech River mainstem, Cragg crk (draining from the east) had the lowest average concentration and least aromatic NOM character, while West Leech NOM was higher in concentration and more aromatic. It was expected that that there would be differences in NOM concentration and character among monitoring sites, but it wasn’t immediately obvious why event-based NOM variances were greater at the West Leech site (20.85 km</w:t>
      </w:r>
      <w:r>
        <w:rPr>
          <w:vertAlign w:val="superscript"/>
        </w:rPr>
        <w:t xml:space="preserve">2</w:t>
      </w:r>
      <w:r>
        <w:t xml:space="preserve"> </w:t>
      </w:r>
      <w:r>
        <w:t xml:space="preserve">sub-basin) compared to other streams draining catchments of similar size (i.e. Leech-head, 20.59 km</w:t>
      </w:r>
      <w:r>
        <w:rPr>
          <w:vertAlign w:val="superscript"/>
        </w:rPr>
        <w:t xml:space="preserve">2</w:t>
      </w:r>
      <w:r>
        <w:t xml:space="preserve"> </w:t>
      </w:r>
      <w:r>
        <w:t xml:space="preserve">sub-basin; and Cragg crk 28.06 km</w:t>
      </w:r>
      <w:r>
        <w:rPr>
          <w:vertAlign w:val="superscript"/>
        </w:rPr>
        <w:t xml:space="preserve">2</w:t>
      </w:r>
      <w:r>
        <w:t xml:space="preserve"> </w:t>
      </w:r>
      <w:r>
        <w:t xml:space="preserve">sub-basin). As water quality is intrinsically linked to watershed characteristics, there may be a key feature (or combination of features) that operate in tandem with weather conditions to drive NOM concentration and character dynamics. This chapter evaluates watershed characteristics (e.g. land cover, parent material, slope) with conditions (e.g. antecedent rain, sampling stage) to identify possible explanatory variables for differences and drivers of change in NOM concentration and character across the six monitoring sites in the Leech WSA.</w:t>
      </w:r>
    </w:p>
    <w:p>
      <w:pPr>
        <w:pStyle w:val="BodyText"/>
      </w:pPr>
      <w:r>
        <w:t xml:space="preserve"> </w:t>
      </w:r>
    </w:p>
    <w:p>
      <w:pPr>
        <w:pStyle w:val="Heading4"/>
      </w:pPr>
      <w:bookmarkStart w:id="85" w:name="random-forests"/>
      <w:r>
        <w:t xml:space="preserve">Random Forests</w:t>
      </w:r>
      <w:bookmarkEnd w:id="85"/>
    </w:p>
    <w:p>
      <w:pPr>
        <w:pStyle w:val="FirstParagraph"/>
      </w:pPr>
      <w:r>
        <w:t xml:space="preserve"> </w:t>
      </w:r>
    </w:p>
    <w:p>
      <w:pPr>
        <w:pStyle w:val="BodyText"/>
      </w:pPr>
      <w:r>
        <w:t xml:space="preserve">A Random Forest is a collection of decision trees, which composes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(good news for analysis of nested catchments). RF has been widely published in hydrologic and water resource research in recent years, particularly in streamflow and water quality studies</w:t>
      </w:r>
      <w:r>
        <w:t xml:space="preserve"> </w:t>
      </w:r>
      <w:r>
        <w:t xml:space="preserve">(see Tyralis, Papacharalampous, and Langousis</w:t>
      </w:r>
      <w:r>
        <w:t xml:space="preserve"> </w:t>
      </w:r>
      <w:hyperlink w:anchor="ref-Tyralis2019">
        <w:r>
          <w:rPr>
            <w:rStyle w:val="Hyperlink"/>
          </w:rPr>
          <w:t xml:space="preserve">2019</w:t>
        </w:r>
      </w:hyperlink>
      <w:r>
        <w:t xml:space="preserve"> </w:t>
      </w:r>
      <w:r>
        <w:t xml:space="preserve">and references therein)</w:t>
      </w:r>
      <w:r>
        <w:t xml:space="preserve">.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 </w:t>
      </w:r>
    </w:p>
    <w:p>
      <w:pPr>
        <w:pStyle w:val="BodyText"/>
      </w:pPr>
      <w:r>
        <w:t xml:space="preserve">The capacity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The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 This is achieved based on either the increase in mean square error (MSE, type 1) or the increase in sum of square errors (SSE, type 2). Type 1 of the variable importance measure (VIM) is calculated by permutation, where</w:t>
      </w:r>
      <w:r>
        <w:t xml:space="preserve"> </w:t>
      </w:r>
      <w:r>
        <w:t xml:space="preserve">“</w:t>
      </w:r>
      <w:r>
        <w:t xml:space="preserve">the prediction error on the out-of-bag portion of the data is recorded (error rate for classification, MSE for regression). Then the same is done after permuting each predictor variable. The difference between the two are then averaged over all trees, and normalized by the standard deviation of the differences</w:t>
      </w:r>
      <w:r>
        <w:t xml:space="preserve">”</w:t>
      </w:r>
      <w:r>
        <w:t xml:space="preserve"> </w:t>
      </w:r>
      <w:r>
        <w:t xml:space="preserve">(Liaw and Wiener</w:t>
      </w:r>
      <w:r>
        <w:t xml:space="preserve"> </w:t>
      </w:r>
      <w:hyperlink w:anchor="ref-Liaw2018">
        <w:r>
          <w:rPr>
            <w:rStyle w:val="Hyperlink"/>
          </w:rPr>
          <w:t xml:space="preserve">2018</w:t>
        </w:r>
      </w:hyperlink>
      <w:r>
        <w:t xml:space="preserve">)</w:t>
      </w:r>
      <w:r>
        <w:t xml:space="preserve">. VIM type 2</w:t>
      </w:r>
      <w:r>
        <w:t xml:space="preserve"> </w:t>
      </w:r>
      <w:r>
        <w:t xml:space="preserve">“</w:t>
      </w:r>
      <w:r>
        <w:t xml:space="preserve">is the total decrease in node impurities from splitting on the variable, averaged over all trees. For classification, the node impurity is measured by the Gini index. For regression, it is measured by residual sum of squares</w:t>
      </w:r>
      <w:r>
        <w:t xml:space="preserve">”</w:t>
      </w:r>
      <w:r>
        <w:t xml:space="preserve"> </w:t>
      </w:r>
      <w:r>
        <w:t xml:space="preserve">(Liaw and Wiener</w:t>
      </w:r>
      <w:r>
        <w:t xml:space="preserve"> </w:t>
      </w:r>
      <w:hyperlink w:anchor="ref-Liaw2018">
        <w:r>
          <w:rPr>
            <w:rStyle w:val="Hyperlink"/>
          </w:rPr>
          <w:t xml:space="preserve">2018</w:t>
        </w:r>
      </w:hyperlink>
      <w:r>
        <w:t xml:space="preserve">)</w:t>
      </w:r>
      <w:r>
        <w:t xml:space="preserve">. The SSE method may be more appropriate for categorical variables than quantitative variables, for which MSE method appears to be more appropriate. Despite the ability of RF to handle non-independent real world data, bias can result from cross-correlations among predictor variables, and mixing categorical and quantitative data may result in bias towards variables with many categories or many missing values</w:t>
      </w:r>
      <w:r>
        <w:t xml:space="preserve"> </w:t>
      </w:r>
      <w:r>
        <w:t xml:space="preserve">(C. Strobl et al.</w:t>
      </w:r>
      <w:r>
        <w:t xml:space="preserve"> </w:t>
      </w:r>
      <w:hyperlink w:anchor="ref-Strobl2008">
        <w:r>
          <w:rPr>
            <w:rStyle w:val="Hyperlink"/>
          </w:rPr>
          <w:t xml:space="preserve">2008</w:t>
        </w:r>
      </w:hyperlink>
      <w:r>
        <w:t xml:space="preserve">)</w:t>
      </w:r>
      <w:r>
        <w:t xml:space="preserve">. Therefore, some predictor refinement is important.</w:t>
      </w:r>
    </w:p>
    <w:p>
      <w:pPr>
        <w:pStyle w:val="BodyText"/>
      </w:pPr>
      <w:r>
        <w:t xml:space="preserve"> </w:t>
      </w:r>
    </w:p>
    <w:p>
      <w:pPr>
        <w:pStyle w:val="Heading4"/>
      </w:pPr>
      <w:bookmarkStart w:id="86" w:name="hysteresis"/>
      <w:r>
        <w:t xml:space="preserve">Hysteresis</w:t>
      </w:r>
      <w:bookmarkEnd w:id="86"/>
    </w:p>
    <w:p>
      <w:pPr>
        <w:pStyle w:val="FirstParagraph"/>
      </w:pPr>
      <w:r>
        <w:t xml:space="preserve">Storm events are understood to be a key driver for solute and particle mobilization in streams (e.g. </w:t>
      </w:r>
      <w:r>
        <w:t xml:space="preserve">Aguilera and Melack (</w:t>
      </w:r>
      <w:hyperlink w:anchor="ref-Aguilera2018">
        <w:r>
          <w:rPr>
            <w:rStyle w:val="Hyperlink"/>
          </w:rPr>
          <w:t xml:space="preserve">2018</w:t>
        </w:r>
      </w:hyperlink>
      <w:r>
        <w:t xml:space="preserve">)</w:t>
      </w:r>
      <w:r>
        <w:t xml:space="preserve">; …*</w:t>
      </w:r>
      <w:r>
        <w:rPr>
          <w:b/>
        </w:rPr>
        <w:t xml:space="preserve">add more refs</w:t>
      </w:r>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is different on the rising limb versus the falling limb of the hydrograph, creates a hysteresis loop that can reveal information about origins and transport of aquatic material, relative to the point of measurement</w:t>
      </w:r>
      <w:r>
        <w:t xml:space="preserve"> </w:t>
      </w:r>
      <w:r>
        <w:t xml:space="preserve">(Vaughan et al.</w:t>
      </w:r>
      <w:r>
        <w:t xml:space="preserve"> </w:t>
      </w:r>
      <w:hyperlink w:anchor="ref-Vaughan2019">
        <w:r>
          <w:rPr>
            <w:rStyle w:val="Hyperlink"/>
          </w:rPr>
          <w:t xml:space="preserve">2019</w:t>
        </w:r>
      </w:hyperlink>
      <w:r>
        <w:t xml:space="preserve">; 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Concentration-discharge hysteresis may be due to episodic flushing of material or from component mixing processes</w:t>
      </w:r>
      <w:r>
        <w:t xml:space="preserve"> </w:t>
      </w:r>
      <w:r>
        <w:t xml:space="preserve">(Evans and Davies</w:t>
      </w:r>
      <w:r>
        <w:t xml:space="preserve"> </w:t>
      </w:r>
      <w:hyperlink w:anchor="ref-Evans1998">
        <w:r>
          <w:rPr>
            <w:rStyle w:val="Hyperlink"/>
          </w:rPr>
          <w:t xml:space="preserve">1998</w:t>
        </w:r>
      </w:hyperlink>
      <w:r>
        <w:t xml:space="preserve">)</w:t>
      </w:r>
      <w:r>
        <w:t xml:space="preserve">. Information about flow-paths and source pools can be obtained from four elements of the C-Q relationship plot: the shape (linear, circular, figure-eight), the direction of a hysteresis loop, the magnitude, and the direction of slope</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Concentration-discharge relationships (C-Q) can elucidate flow-paths and aid in estimating proportional streamflow contributions (i.e. subsurface vs. overland, or near-stream vs. upland)</w:t>
      </w:r>
      <w:r>
        <w:t xml:space="preserve"> </w:t>
      </w:r>
      <w:r>
        <w:t xml:space="preserve">(Evans, Davies, and Murdoch</w:t>
      </w:r>
      <w:r>
        <w:t xml:space="preserve"> </w:t>
      </w:r>
      <w:hyperlink w:anchor="ref-Evans1999">
        <w:r>
          <w:rPr>
            <w:rStyle w:val="Hyperlink"/>
          </w:rPr>
          <w:t xml:space="preserve">1999</w:t>
        </w:r>
      </w:hyperlink>
      <w:r>
        <w:t xml:space="preserve">)</w:t>
      </w:r>
      <w:r>
        <w:t xml:space="preserve">. C-Q can be used to determine whether a catchment’s solute export regime is chemostatic or chemodynamic</w:t>
      </w:r>
      <w:r>
        <w:t xml:space="preserve"> </w:t>
      </w:r>
      <w:r>
        <w:t xml:space="preserve">(Musolff et al.</w:t>
      </w:r>
      <w:r>
        <w:t xml:space="preserve"> </w:t>
      </w:r>
      <w:hyperlink w:anchor="ref-Musolff2015">
        <w:r>
          <w:rPr>
            <w:rStyle w:val="Hyperlink"/>
          </w:rPr>
          <w:t xml:space="preserve">2015</w:t>
        </w:r>
      </w:hyperlink>
      <w:r>
        <w:t xml:space="preserve">)</w:t>
      </w:r>
      <w:r>
        <w:t xml:space="preserve">. In an assessment of ~400 stream events in coastal California, Aguilera and Melack</w:t>
      </w:r>
      <w:r>
        <w:t xml:space="preserve"> </w:t>
      </w:r>
      <w:r>
        <w:t xml:space="preserve">(</w:t>
      </w:r>
      <w:hyperlink w:anchor="ref-Aguilera2018">
        <w:r>
          <w:rPr>
            <w:rStyle w:val="Hyperlink"/>
          </w:rPr>
          <w:t xml:space="preserve">2018</w:t>
        </w:r>
      </w:hyperlink>
      <w:r>
        <w:t xml:space="preserve">)</w:t>
      </w:r>
      <w:r>
        <w:t xml:space="preserve"> </w:t>
      </w:r>
      <w:r>
        <w:t xml:space="preserve">found that sediment-associated concentrations peaked during high flows but dissolved nitrogen species had hysteretic behaviour with flow, the direction of which differed depending on land-use.</w:t>
      </w:r>
    </w:p>
    <w:p>
      <w:pPr>
        <w:pStyle w:val="BodyText"/>
      </w:pPr>
      <w:r>
        <w:t xml:space="preserve"> </w:t>
      </w:r>
    </w:p>
    <w:p>
      <w:pPr>
        <w:pStyle w:val="BodyText"/>
      </w:pPr>
      <w:r>
        <w:t xml:space="preserve">Dominant sources and flow paths during events can be inferred from the slope (positive or negative) and the direction of the hysteresis loop rotation</w:t>
      </w:r>
      <w:r>
        <w:t xml:space="preserve"> </w:t>
      </w:r>
      <w:r>
        <w:t xml:space="preserve">(Evans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Evans et al. </w:t>
      </w:r>
      <w:r>
        <w:t xml:space="preserve">(</w:t>
      </w:r>
      <w:hyperlink w:anchor="ref-Evans1999">
        <w:r>
          <w:rPr>
            <w:rStyle w:val="Hyperlink"/>
          </w:rPr>
          <w:t xml:space="preserve">1999</w:t>
        </w:r>
      </w:hyperlink>
      <w:r>
        <w:t xml:space="preserve">)</w:t>
      </w:r>
      <w:r>
        <w:t xml:space="preserve"> </w:t>
      </w:r>
      <w:r>
        <w:t xml:space="preserve">determined that C-Q analysis requires a minimum of five samples to determine the rotational direction of hysteresis: pre and post episode low-flow, rising and falling limbs and near to peak Q.</w:t>
      </w:r>
    </w:p>
    <w:p>
      <w:pPr>
        <w:pStyle w:val="BodyText"/>
      </w:pPr>
      <w:r>
        <w:t xml:space="preserve"> </w:t>
      </w:r>
    </w:p>
    <w:p>
      <w:pPr>
        <w:pStyle w:val="BodyText"/>
      </w:pPr>
      <w:r>
        <w:t xml:space="preserve">Using end-member mixing, with hydrometric monitoring and carbon isotope (δ</w:t>
      </w:r>
      <w:r>
        <w:rPr>
          <w:vertAlign w:val="superscript"/>
        </w:rPr>
        <w:t xml:space="preserve">13</w:t>
      </w:r>
      <w:r>
        <w:t xml:space="preserve">C</w:t>
      </w:r>
      <w:r>
        <w:rPr>
          <w:vertAlign w:val="subscript"/>
        </w:rPr>
        <w:t xml:space="preserve">DOC</w:t>
      </w:r>
      <w:r>
        <w:t xml:space="preserve">) data, Lambert et al. </w:t>
      </w:r>
      <w:r>
        <w:t xml:space="preserve">(</w:t>
      </w:r>
      <w:hyperlink w:anchor="ref-Lambert2014">
        <w:r>
          <w:rPr>
            <w:rStyle w:val="Hyperlink"/>
          </w:rPr>
          <w:t xml:space="preserve">2014</w:t>
        </w:r>
      </w:hyperlink>
      <w:r>
        <w:t xml:space="preserve">)</w:t>
      </w:r>
      <w:r>
        <w:t xml:space="preserve"> </w:t>
      </w:r>
      <w:r>
        <w:t xml:space="preserve">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near-finite carbon source. Lambert et al. </w:t>
      </w:r>
      <w:r>
        <w:t xml:space="preserve">(</w:t>
      </w:r>
      <w:hyperlink w:anchor="ref-Lambert2014">
        <w:r>
          <w:rPr>
            <w:rStyle w:val="Hyperlink"/>
          </w:rPr>
          <w:t xml:space="preserve">2014</w:t>
        </w:r>
      </w:hyperlink>
      <w:r>
        <w:t xml:space="preserve">)</w:t>
      </w:r>
      <w:r>
        <w:t xml:space="preserve"> </w:t>
      </w:r>
      <w:r>
        <w:t xml:space="preserve">also found that upland sources 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add info about ANTECEDENT CONDITIONS?</w:t>
      </w:r>
    </w:p>
    <w:p>
      <w:pPr>
        <w:pStyle w:val="BodyText"/>
      </w:pPr>
      <w:r>
        <w:t xml:space="preserve"> </w:t>
      </w:r>
    </w:p>
    <w:p>
      <w:pPr>
        <w:pStyle w:val="Heading3"/>
      </w:pPr>
      <w:bookmarkStart w:id="87" w:name="methods-1"/>
      <w:r>
        <w:t xml:space="preserve">Methods</w:t>
      </w:r>
      <w:bookmarkEnd w:id="87"/>
    </w:p>
    <w:p>
      <w:pPr>
        <w:pStyle w:val="FirstParagraph"/>
      </w:pPr>
      <w:r>
        <w:t xml:space="preserve"> </w:t>
      </w:r>
    </w:p>
    <w:p>
      <w:pPr>
        <w:pStyle w:val="Heading4"/>
      </w:pPr>
      <w:bookmarkStart w:id="88" w:name="site-details"/>
      <w:r>
        <w:t xml:space="preserve">Site details</w:t>
      </w:r>
      <w:bookmarkEnd w:id="88"/>
    </w:p>
    <w:p>
      <w:pPr>
        <w:pStyle w:val="FirstParagraph"/>
      </w:pPr>
      <w:r>
        <w:t xml:space="preserve">This chapter focuses on the six Leech WSA monitoring sites (Figure</w:t>
      </w:r>
      <w:r>
        <w:t xml:space="preserve"> </w:t>
      </w:r>
      <w:r>
        <w:t xml:space="preserve">13</w:t>
      </w:r>
      <w:r>
        <w:t xml:space="preserve">), which were equipped with Vertical Rack samplers. Nested catchments of the Leech WSA included two headwater streams, Weeks and Chris crk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w:t>
      </w:r>
      <w:r>
        <w:t xml:space="preserve">‘</w:t>
      </w:r>
      <w:r>
        <w:t xml:space="preserve">Leech-head</w:t>
      </w:r>
      <w:r>
        <w:t xml:space="preserve">’</w:t>
      </w:r>
      <w:r>
        <w:t xml:space="preserve">), below the confluence of those two headwater streams (site 3, 20.6 km</w:t>
      </w:r>
      <w:r>
        <w:rPr>
          <w:vertAlign w:val="superscript"/>
        </w:rPr>
        <w:t xml:space="preserve">2</w:t>
      </w:r>
      <w:r>
        <w:t xml:space="preserve"> </w:t>
      </w:r>
      <w:r>
        <w:t xml:space="preserve">sub-basin); two major tributaries that feed the Leech, Cragg crk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which encompassed drainage of the entire Leech WSA above the point of diversion (95.3 km</w:t>
      </w:r>
      <w:r>
        <w:rPr>
          <w:vertAlign w:val="superscript"/>
        </w:rPr>
        <w:t xml:space="preserve">2</w:t>
      </w:r>
      <w:r>
        <w:t xml:space="preserve">). Sample collection and analysis follow the methods detailed in Chapter 2.</w:t>
      </w:r>
    </w:p>
    <w:p>
      <w:pPr>
        <w:pStyle w:val="BodyText"/>
      </w:pPr>
      <w:r>
        <w:t xml:space="preserve"> </w:t>
      </w:r>
    </w:p>
    <w:p>
      <w:pPr>
        <w:pStyle w:val="CaptionedFigure"/>
      </w:pPr>
      <w:r>
        <w:drawing>
          <wp:inline>
            <wp:extent cx="5943600" cy="5976414"/>
            <wp:effectExtent b="0" l="0" r="0" t="0"/>
            <wp:docPr descr="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9"/>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pPr>
        <w:pStyle w:val="BodyText"/>
      </w:pPr>
      <w:r>
        <w:t xml:space="preserve"> </w:t>
      </w:r>
    </w:p>
    <w:p>
      <w:pPr>
        <w:pStyle w:val="BodyText"/>
      </w:pPr>
      <w:r>
        <w:t xml:space="preserve">Surficial materials and soils in the Leech WSA were predominantly podzolic with approximately 50% of the parent material in each sub-basin composed of colluvial deposits with O-HFP development (orthic humo-ferric podzol). The second most dominant parent material for soil was till (morainal) with duric humo-ferric podzol (DU-HFP) soil development in all sub-basins except for West Leech, which had till-based O-HFP soils</w:t>
      </w:r>
      <w:r>
        <w:t xml:space="preserve"> </w:t>
      </w:r>
      <w:r>
        <w:t xml:space="preserve">(Government of Canada</w:t>
      </w:r>
      <w:r>
        <w:t xml:space="preserve"> </w:t>
      </w:r>
      <w:hyperlink w:anchor="ref-SoilsCanada2018">
        <w:r>
          <w:rPr>
            <w:rStyle w:val="Hyperlink"/>
          </w:rPr>
          <w:t xml:space="preserve">2018</w:t>
        </w:r>
      </w:hyperlink>
      <w:r>
        <w:t xml:space="preserve">)</w:t>
      </w:r>
      <w:r>
        <w:t xml:space="preserve">. DU-HFP differs from O-HFP by the presence of a strongly cemented layer (duric horizon) that is unlike the B horizon in O-HFP</w:t>
      </w:r>
      <w:r>
        <w:t xml:space="preserve"> </w:t>
      </w:r>
      <w:r>
        <w:t xml:space="preserve">(Canadian Society of Soil Science</w:t>
      </w:r>
      <w:r>
        <w:t xml:space="preserve"> </w:t>
      </w:r>
      <w:hyperlink w:anchor="ref-SoilScience2020">
        <w:r>
          <w:rPr>
            <w:rStyle w:val="Hyperlink"/>
          </w:rPr>
          <w:t xml:space="preserve">2020</w:t>
        </w:r>
      </w:hyperlink>
      <w:r>
        <w:t xml:space="preserve">)</w:t>
      </w:r>
      <w:r>
        <w:t xml:space="preserve">. Both DU-HFP and O-HFP are well drained, or moderately so, and O-HFP tends to be acidic (pH &lt; 5.6) while DU-HFP is generally moderately acidic to neutral (pH 5.6 - 7.4)</w:t>
      </w:r>
      <w:r>
        <w:t xml:space="preserve"> </w:t>
      </w:r>
      <w:r>
        <w:t xml:space="preserve">(Government of Canada</w:t>
      </w:r>
      <w:r>
        <w:t xml:space="preserve"> </w:t>
      </w:r>
      <w:hyperlink w:anchor="ref-SoilsCanada2018">
        <w:r>
          <w:rPr>
            <w:rStyle w:val="Hyperlink"/>
          </w:rPr>
          <w:t xml:space="preserve">2018</w:t>
        </w:r>
      </w:hyperlink>
      <w:r>
        <w:t xml:space="preserve">)</w:t>
      </w:r>
      <w:r>
        <w:t xml:space="preserve">. There was a small amount of poorly drained terric mesisol (T.M., undifferentiated organic soil) present only in the Weeks crk sub-basin (Table</w:t>
      </w:r>
      <w:r>
        <w:t xml:space="preserve"> </w:t>
      </w:r>
      <w:r>
        <w:t xml:space="preserve">14</w:t>
      </w:r>
      <w:r>
        <w:t xml:space="preserve">).</w:t>
      </w:r>
    </w:p>
    <w:p>
      <w:pPr>
        <w:pStyle w:val="BodyText"/>
      </w:pPr>
      <w:r>
        <w:t xml:space="preserve"> </w:t>
      </w:r>
    </w:p>
    <w:p>
      <w:pPr>
        <w:pStyle w:val="BodyText"/>
      </w:pPr>
      <w:r>
        <w:t xml:space="preserve">There were a few notable differences in subsurface geology between sub-basins (Table</w:t>
      </w:r>
      <w:r>
        <w:t xml:space="preserve"> </w:t>
      </w:r>
      <w:r>
        <w:t xml:space="preserve">14</w:t>
      </w:r>
      <w:r>
        <w:t xml:space="preserve">). West Leech was characterized by the absence of wark gneiss and chert argillite volcanic parent materials (0%), which were present in all other sub-basins. Both Weeks crk and West Leech sub-basins were dominated by argillite metagreywacke parent material (64% and 77%, respectively). West Leech was also underlain by metagreywacke (7%) and Metchosin volcanics (16%), which were absent in each of the other monitoring sub-basins. Cragg crk sub-basin (site 4) was underlain predominantly by metamorphic wark gneiss (78%) with no argillite metagreywacke parent material (0%). Metagreywacke parent materials are part of the metasedimentary Leech River Formation, where metagreywacke is meta-sandstone and argillite metagreywacke is more of a meta-mudstone</w:t>
      </w:r>
      <w:r>
        <w:t xml:space="preserve"> </w:t>
      </w:r>
      <w:r>
        <w:t xml:space="preserve">(Groome et al.</w:t>
      </w:r>
      <w:r>
        <w:t xml:space="preserve"> </w:t>
      </w:r>
      <w:hyperlink w:anchor="ref-Groome2003">
        <w:r>
          <w:rPr>
            <w:rStyle w:val="Hyperlink"/>
          </w:rPr>
          <w:t xml:space="preserve">2003</w:t>
        </w:r>
      </w:hyperlink>
      <w:r>
        <w:t xml:space="preserve">)</w:t>
      </w:r>
      <w:r>
        <w:t xml:space="preserve">. The Leech River Formation tends to be more erodible than wark-gneiss</w:t>
      </w:r>
      <w:r>
        <w:t xml:space="preserve"> </w:t>
      </w:r>
      <w:r>
        <w:t xml:space="preserve">(Ussery and AECOM</w:t>
      </w:r>
      <w:r>
        <w:t xml:space="preserve"> </w:t>
      </w:r>
      <w:hyperlink w:anchor="ref-Ussery2015">
        <w:r>
          <w:rPr>
            <w:rStyle w:val="Hyperlink"/>
          </w:rPr>
          <w:t xml:space="preserve">2015</w:t>
        </w:r>
      </w:hyperlink>
      <w:r>
        <w:t xml:space="preserve">)</w:t>
      </w:r>
      <w:r>
        <w:t xml:space="preserve">. Chris crk and Cragg crk sub-basins had no metasedimentary parent material of the Leech River Formation.</w:t>
      </w:r>
    </w:p>
    <w:p>
      <w:pPr>
        <w:pStyle w:val="BodyText"/>
      </w:pPr>
      <w:r>
        <w:t xml:space="preserve"> </w:t>
      </w:r>
    </w:p>
    <w:p>
      <w:pPr>
        <w:pStyle w:val="BodyText"/>
      </w:pPr>
      <w:r>
        <w:t xml:space="preserve">At the surface, Weeks crk sub-basin had the greatest proportion of wetland and open water compared to the other sub-basin sites (Table</w:t>
      </w:r>
      <w:r>
        <w:t xml:space="preserve"> </w:t>
      </w:r>
      <w:r>
        <w:t xml:space="preserve">14</w:t>
      </w:r>
      <w:r>
        <w:t xml:space="preserve">). Cragg crk sub-basin had the oldest average tree age (59 years). By area, the most heavily harvested basin since 1980 was the Chris crk sub-basin (63% harvested), then Leech-head and Cragg crk sub-basins (43% and 41% harvested, respectively). West Leech was the least harvested between 1980 and 2011 (26%), followed by Weeks crk sub-basin (28% harvested, but is also 7% open water and wetland), followed by the entire Leech Tunnel catchment area (34%).</w:t>
      </w:r>
    </w:p>
    <w:p>
      <w:pPr>
        <w:pStyle w:val="BodyText"/>
      </w:pPr>
      <w:r>
        <w:t xml:space="preserve"> </w:t>
      </w:r>
    </w:p>
    <w:p>
      <w:pPr>
        <w:pStyle w:val="TableCaption"/>
      </w:pPr>
      <w:r>
        <w:t xml:space="preserve">Table 14: Summary of Leech Watershed Characteristics for Monitoring Site Sub-basins. Variables Preceded by Square Brackets Indicate Sub-surface Features of Parent Material ([PM]) and Soil Groups ([S]).</w:t>
      </w:r>
    </w:p>
    <w:tbl>
      <w:tblPr>
        <w:tblStyle w:val="Table"/>
        <w:tblW w:type="pct" w:w="0.0"/>
        <w:tblLook w:firstRow="1"/>
        <w:tblCaption w:val="Table 14: Summary of Leech Watershed Characteristics for Monitoring Site Sub-basins. Variables Preceded by Square Brackets Indicate Sub-surface Features of Parent Material ([PM]) and Soil Groups ([S])."/>
      </w:tblPr>
      <w:tblGrid/>
      <w:tr>
        <w:trPr>
          <w:cnfStyle w:firstRow="1"/>
        </w:trPr>
        <w:tc>
          <w:tcPr>
            <w:tcBorders>
              <w:bottom w:val="single"/>
            </w:tcBorders>
            <w:vAlign w:val="bottom"/>
          </w:tcPr>
          <w:p>
            <w:pPr>
              <w:pStyle w:val="Compact"/>
              <w:jc w:val="left"/>
            </w:pPr>
            <w:r>
              <w:t xml:space="preserve">Variable by site</w:t>
            </w:r>
          </w:p>
        </w:tc>
        <w:tc>
          <w:tcPr>
            <w:tcBorders>
              <w:bottom w:val="single"/>
            </w:tcBorders>
            <w:vAlign w:val="bottom"/>
          </w:tcPr>
          <w:p>
            <w:pPr>
              <w:pStyle w:val="Compact"/>
              <w:jc w:val="left"/>
            </w:pPr>
            <w:r>
              <w:t xml:space="preserve">Weeks crk (1)</w:t>
            </w:r>
          </w:p>
        </w:tc>
        <w:tc>
          <w:tcPr>
            <w:tcBorders>
              <w:bottom w:val="single"/>
            </w:tcBorders>
            <w:vAlign w:val="bottom"/>
          </w:tcPr>
          <w:p>
            <w:pPr>
              <w:pStyle w:val="Compact"/>
              <w:jc w:val="left"/>
            </w:pPr>
            <w:r>
              <w:t xml:space="preserve">Chris crk (2)</w:t>
            </w:r>
          </w:p>
        </w:tc>
        <w:tc>
          <w:tcPr>
            <w:tcBorders>
              <w:bottom w:val="single"/>
            </w:tcBorders>
            <w:vAlign w:val="bottom"/>
          </w:tcPr>
          <w:p>
            <w:pPr>
              <w:pStyle w:val="Compact"/>
              <w:jc w:val="left"/>
            </w:pPr>
            <w:r>
              <w:t xml:space="preserve">Leech-head (3)</w:t>
            </w:r>
          </w:p>
        </w:tc>
        <w:tc>
          <w:tcPr>
            <w:tcBorders>
              <w:bottom w:val="single"/>
            </w:tcBorders>
            <w:vAlign w:val="bottom"/>
          </w:tcPr>
          <w:p>
            <w:pPr>
              <w:pStyle w:val="Compact"/>
              <w:jc w:val="left"/>
            </w:pPr>
            <w:r>
              <w:t xml:space="preserve">Cragg crk (4)</w:t>
            </w:r>
          </w:p>
        </w:tc>
        <w:tc>
          <w:tcPr>
            <w:tcBorders>
              <w:bottom w:val="single"/>
            </w:tcBorders>
            <w:vAlign w:val="bottom"/>
          </w:tcPr>
          <w:p>
            <w:pPr>
              <w:pStyle w:val="Compact"/>
              <w:jc w:val="left"/>
            </w:pPr>
            <w:r>
              <w:t xml:space="preserve">West Leech (5)</w:t>
            </w:r>
          </w:p>
        </w:tc>
        <w:tc>
          <w:tcPr>
            <w:tcBorders>
              <w:bottom w:val="single"/>
            </w:tcBorders>
            <w:vAlign w:val="bottom"/>
          </w:tcPr>
          <w:p>
            <w:pPr>
              <w:pStyle w:val="Compact"/>
              <w:jc w:val="left"/>
            </w:pPr>
            <w:r>
              <w:t xml:space="preserve">Leech Tunnel (6)</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r>
      <w:tr>
        <w:tc>
          <w:p>
            <w:pPr>
              <w:pStyle w:val="Compact"/>
              <w:jc w:val="left"/>
            </w:pPr>
            <w:r>
              <w:t xml:space="preserve">Interest / characteristic</w:t>
            </w:r>
          </w:p>
        </w:tc>
        <w:tc>
          <w:p>
            <w:pPr>
              <w:pStyle w:val="Compact"/>
              <w:jc w:val="left"/>
            </w:pPr>
            <w:r>
              <w:t xml:space="preserve">Headwater</w:t>
            </w:r>
          </w:p>
        </w:tc>
        <w:tc>
          <w:p>
            <w:pPr>
              <w:pStyle w:val="Compact"/>
              <w:jc w:val="left"/>
            </w:pPr>
            <w:r>
              <w:t xml:space="preserve">Headwater</w:t>
            </w:r>
          </w:p>
        </w:tc>
        <w:tc>
          <w:p>
            <w:pPr>
              <w:pStyle w:val="Compact"/>
              <w:jc w:val="left"/>
            </w:pPr>
            <w:r>
              <w:t xml:space="preserve">Leech Rv. (head)</w:t>
            </w:r>
          </w:p>
        </w:tc>
        <w:tc>
          <w:p>
            <w:pPr>
              <w:pStyle w:val="Compact"/>
              <w:jc w:val="left"/>
            </w:pPr>
            <w:r>
              <w:t xml:space="preserve">Major trib.</w:t>
            </w:r>
          </w:p>
        </w:tc>
        <w:tc>
          <w:p>
            <w:pPr>
              <w:pStyle w:val="Compact"/>
              <w:jc w:val="left"/>
            </w:pPr>
            <w:r>
              <w:t xml:space="preserve">Major trib.</w:t>
            </w:r>
          </w:p>
        </w:tc>
        <w:tc>
          <w:p>
            <w:pPr>
              <w:pStyle w:val="Compact"/>
              <w:jc w:val="left"/>
            </w:pPr>
            <w:r>
              <w:t xml:space="preserve">Mainstem, future diversion</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slope, mean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Logging history, 1980-2011 (% area)</w:t>
            </w:r>
          </w:p>
        </w:tc>
        <w:tc>
          <w:p>
            <w:pPr>
              <w:pStyle w:val="Compact"/>
              <w:jc w:val="left"/>
            </w:pPr>
            <w:r>
              <w:t xml:space="preserve">28.1</w:t>
            </w:r>
          </w:p>
        </w:tc>
        <w:tc>
          <w:p>
            <w:pPr>
              <w:pStyle w:val="Compact"/>
              <w:jc w:val="left"/>
            </w:pPr>
            <w:r>
              <w:t xml:space="preserve">62.6</w:t>
            </w:r>
          </w:p>
        </w:tc>
        <w:tc>
          <w:p>
            <w:pPr>
              <w:pStyle w:val="Compact"/>
              <w:jc w:val="left"/>
            </w:pPr>
            <w:r>
              <w:t xml:space="preserve">42.7</w:t>
            </w:r>
          </w:p>
        </w:tc>
        <w:tc>
          <w:p>
            <w:pPr>
              <w:pStyle w:val="Compact"/>
              <w:jc w:val="left"/>
            </w:pPr>
            <w:r>
              <w:t xml:space="preserve">41.3</w:t>
            </w:r>
          </w:p>
        </w:tc>
        <w:tc>
          <w:p>
            <w:pPr>
              <w:pStyle w:val="Compact"/>
              <w:jc w:val="left"/>
            </w:pPr>
            <w:r>
              <w:t xml:space="preserve">25.8</w:t>
            </w:r>
          </w:p>
        </w:tc>
        <w:tc>
          <w:p>
            <w:pPr>
              <w:pStyle w:val="Compact"/>
              <w:jc w:val="left"/>
            </w:pPr>
            <w:r>
              <w:t xml:space="preserve">33.9</w:t>
            </w:r>
          </w:p>
        </w:tc>
      </w:tr>
      <w:tr>
        <w:tc>
          <w:p>
            <w:pPr>
              <w:pStyle w:val="Compact"/>
              <w:jc w:val="left"/>
            </w:pPr>
            <w:r>
              <w:t xml:space="preserve">Tree age (average)</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r>
      <w:tr>
        <w:tc>
          <w:p>
            <w:pPr>
              <w:pStyle w:val="Compact"/>
              <w:jc w:val="left"/>
            </w:pPr>
            <w:r>
              <w:t xml:space="preserve">[PM] 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[PM] 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[PM] 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[PM] 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[PM] 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[PM] 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[S] Colluvial (O-HFP, %)</w:t>
            </w:r>
          </w:p>
        </w:tc>
        <w:tc>
          <w:p>
            <w:pPr>
              <w:pStyle w:val="Compact"/>
              <w:jc w:val="left"/>
            </w:pPr>
            <w:r>
              <w:t xml:space="preserve">42.2</w:t>
            </w:r>
          </w:p>
        </w:tc>
        <w:tc>
          <w:p>
            <w:pPr>
              <w:pStyle w:val="Compact"/>
              <w:jc w:val="left"/>
            </w:pPr>
            <w:r>
              <w:t xml:space="preserve">48.1</w:t>
            </w:r>
          </w:p>
        </w:tc>
        <w:tc>
          <w:p>
            <w:pPr>
              <w:pStyle w:val="Compact"/>
              <w:jc w:val="left"/>
            </w:pPr>
            <w:r>
              <w:t xml:space="preserve">44.3</w:t>
            </w:r>
          </w:p>
        </w:tc>
        <w:tc>
          <w:p>
            <w:pPr>
              <w:pStyle w:val="Compact"/>
              <w:jc w:val="left"/>
            </w:pPr>
            <w:r>
              <w:t xml:space="preserve">48.1</w:t>
            </w:r>
          </w:p>
        </w:tc>
        <w:tc>
          <w:p>
            <w:pPr>
              <w:pStyle w:val="Compact"/>
              <w:jc w:val="left"/>
            </w:pPr>
            <w:r>
              <w:t xml:space="preserve">50</w:t>
            </w:r>
          </w:p>
        </w:tc>
        <w:tc>
          <w:p>
            <w:pPr>
              <w:pStyle w:val="Compact"/>
              <w:jc w:val="left"/>
            </w:pPr>
            <w:r>
              <w:t xml:space="preserve">47.9</w:t>
            </w:r>
          </w:p>
        </w:tc>
      </w:tr>
      <w:tr>
        <w:tc>
          <w:p>
            <w:pPr>
              <w:pStyle w:val="Compact"/>
              <w:jc w:val="left"/>
            </w:pPr>
            <w:r>
              <w:t xml:space="preserve">[S] Morainal / Till (DU-HFP, %)</w:t>
            </w:r>
          </w:p>
        </w:tc>
        <w:tc>
          <w:p>
            <w:pPr>
              <w:pStyle w:val="Compact"/>
              <w:jc w:val="left"/>
            </w:pPr>
            <w:r>
              <w:t xml:space="preserve">26.6</w:t>
            </w:r>
          </w:p>
        </w:tc>
        <w:tc>
          <w:p>
            <w:pPr>
              <w:pStyle w:val="Compact"/>
              <w:jc w:val="left"/>
            </w:pPr>
            <w:r>
              <w:t xml:space="preserve">51.9</w:t>
            </w:r>
          </w:p>
        </w:tc>
        <w:tc>
          <w:p>
            <w:pPr>
              <w:pStyle w:val="Compact"/>
              <w:jc w:val="left"/>
            </w:pPr>
            <w:r>
              <w:t xml:space="preserve">36.1</w:t>
            </w:r>
          </w:p>
        </w:tc>
        <w:tc>
          <w:p>
            <w:pPr>
              <w:pStyle w:val="Compact"/>
              <w:jc w:val="left"/>
            </w:pPr>
            <w:r>
              <w:t xml:space="preserve">31.8</w:t>
            </w:r>
          </w:p>
        </w:tc>
        <w:tc>
          <w:p>
            <w:pPr>
              <w:pStyle w:val="Compact"/>
              <w:jc w:val="left"/>
            </w:pPr>
            <w:r>
              <w:t xml:space="preserve">1.8</w:t>
            </w:r>
          </w:p>
        </w:tc>
        <w:tc>
          <w:p>
            <w:pPr>
              <w:pStyle w:val="Compact"/>
              <w:jc w:val="left"/>
            </w:pPr>
            <w:r>
              <w:t xml:space="preserve">19.2</w:t>
            </w:r>
          </w:p>
        </w:tc>
      </w:tr>
      <w:tr>
        <w:tc>
          <w:p>
            <w:pPr>
              <w:pStyle w:val="Compact"/>
              <w:jc w:val="left"/>
            </w:pPr>
            <w:r>
              <w:t xml:space="preserve">[S] Morainal / Till (O-HFP, %)</w:t>
            </w:r>
          </w:p>
        </w:tc>
        <w:tc>
          <w:p>
            <w:pPr>
              <w:pStyle w:val="Compact"/>
              <w:jc w:val="left"/>
            </w:pPr>
            <w:r>
              <w:t xml:space="preserve">17.8</w:t>
            </w:r>
          </w:p>
        </w:tc>
        <w:tc>
          <w:p>
            <w:pPr>
              <w:pStyle w:val="Compact"/>
              <w:jc w:val="left"/>
            </w:pPr>
            <w:r>
              <w:t xml:space="preserve">0</w:t>
            </w:r>
          </w:p>
        </w:tc>
        <w:tc>
          <w:p>
            <w:pPr>
              <w:pStyle w:val="Compact"/>
              <w:jc w:val="left"/>
            </w:pPr>
            <w:r>
              <w:t xml:space="preserve">12.9</w:t>
            </w:r>
          </w:p>
        </w:tc>
        <w:tc>
          <w:p>
            <w:pPr>
              <w:pStyle w:val="Compact"/>
              <w:jc w:val="left"/>
            </w:pPr>
            <w:r>
              <w:t xml:space="preserve">1</w:t>
            </w:r>
          </w:p>
        </w:tc>
        <w:tc>
          <w:p>
            <w:pPr>
              <w:pStyle w:val="Compact"/>
              <w:jc w:val="left"/>
            </w:pPr>
            <w:r>
              <w:t xml:space="preserve">48.2</w:t>
            </w:r>
          </w:p>
        </w:tc>
        <w:tc>
          <w:p>
            <w:pPr>
              <w:pStyle w:val="Compact"/>
              <w:jc w:val="left"/>
            </w:pPr>
            <w:r>
              <w:t xml:space="preserve">25.6</w:t>
            </w:r>
          </w:p>
        </w:tc>
      </w:tr>
      <w:tr>
        <w:tc>
          <w:p>
            <w:pPr>
              <w:pStyle w:val="Compact"/>
              <w:jc w:val="left"/>
            </w:pPr>
            <w:r>
              <w:t xml:space="preserve">[S] Undifferentiated organic (T.M, %)</w:t>
            </w:r>
          </w:p>
        </w:tc>
        <w:tc>
          <w:p>
            <w:pPr>
              <w:pStyle w:val="Compact"/>
              <w:jc w:val="left"/>
            </w:pPr>
            <w:r>
              <w:t xml:space="preserve">6.4</w:t>
            </w:r>
          </w:p>
        </w:tc>
        <w:tc>
          <w:p>
            <w:pPr>
              <w:pStyle w:val="Compact"/>
              <w:jc w:val="left"/>
            </w:pPr>
            <w:r>
              <w:t xml:space="preserve">0</w:t>
            </w:r>
          </w:p>
        </w:tc>
        <w:tc>
          <w:p>
            <w:pPr>
              <w:pStyle w:val="Compact"/>
              <w:jc w:val="left"/>
            </w:pPr>
            <w:r>
              <w:t xml:space="preserve">3.6</w:t>
            </w:r>
          </w:p>
        </w:tc>
        <w:tc>
          <w:p>
            <w:pPr>
              <w:pStyle w:val="Compact"/>
              <w:jc w:val="left"/>
            </w:pPr>
            <w:r>
              <w:t xml:space="preserve">0</w:t>
            </w:r>
          </w:p>
        </w:tc>
        <w:tc>
          <w:p>
            <w:pPr>
              <w:pStyle w:val="Compact"/>
              <w:jc w:val="left"/>
            </w:pPr>
            <w:r>
              <w:t xml:space="preserve">0</w:t>
            </w:r>
          </w:p>
        </w:tc>
        <w:tc>
          <w:p>
            <w:pPr>
              <w:pStyle w:val="Compact"/>
              <w:jc w:val="left"/>
            </w:pPr>
            <w:r>
              <w:t xml:space="preserve">0.8</w:t>
            </w:r>
          </w:p>
        </w:tc>
      </w:tr>
      <w:tr>
        <w:tc>
          <w:p>
            <w:pPr>
              <w:pStyle w:val="Compact"/>
              <w:jc w:val="left"/>
            </w:pPr>
            <w:r>
              <w:t xml:space="preserve">[S] Glaciofluvial (DU-HFP, %)</w:t>
            </w:r>
          </w:p>
        </w:tc>
        <w:tc>
          <w:p>
            <w:pPr>
              <w:pStyle w:val="Compact"/>
              <w:jc w:val="left"/>
            </w:pPr>
            <w:r>
              <w:t xml:space="preserve">0.5</w:t>
            </w:r>
          </w:p>
        </w:tc>
        <w:tc>
          <w:p>
            <w:pPr>
              <w:pStyle w:val="Compact"/>
              <w:jc w:val="left"/>
            </w:pPr>
            <w:r>
              <w:t xml:space="preserve">0</w:t>
            </w:r>
          </w:p>
        </w:tc>
        <w:tc>
          <w:p>
            <w:pPr>
              <w:pStyle w:val="Compact"/>
              <w:jc w:val="left"/>
            </w:pPr>
            <w:r>
              <w:t xml:space="preserve">0.6</w:t>
            </w:r>
          </w:p>
        </w:tc>
        <w:tc>
          <w:p>
            <w:pPr>
              <w:pStyle w:val="Compact"/>
              <w:jc w:val="left"/>
            </w:pPr>
            <w:r>
              <w:t xml:space="preserve">6.9</w:t>
            </w:r>
          </w:p>
        </w:tc>
        <w:tc>
          <w:p>
            <w:pPr>
              <w:pStyle w:val="Compact"/>
              <w:jc w:val="left"/>
            </w:pPr>
            <w:r>
              <w:t xml:space="preserve">0</w:t>
            </w:r>
          </w:p>
        </w:tc>
        <w:tc>
          <w:p>
            <w:pPr>
              <w:pStyle w:val="Compact"/>
              <w:jc w:val="left"/>
            </w:pPr>
            <w:r>
              <w:t xml:space="preserve">2.2</w:t>
            </w:r>
          </w:p>
        </w:tc>
      </w:tr>
      <w:tr>
        <w:tc>
          <w:p>
            <w:pPr>
              <w:pStyle w:val="Compact"/>
              <w:jc w:val="left"/>
            </w:pPr>
            <w:r>
              <w:t xml:space="preserve">[S] Fluvial (DU-HFP, %)</w:t>
            </w:r>
          </w:p>
        </w:tc>
        <w:tc>
          <w:p>
            <w:pPr>
              <w:pStyle w:val="Compact"/>
              <w:jc w:val="left"/>
            </w:pPr>
            <w:r>
              <w:t xml:space="preserve">3.9</w:t>
            </w:r>
          </w:p>
        </w:tc>
        <w:tc>
          <w:p>
            <w:pPr>
              <w:pStyle w:val="Compact"/>
              <w:jc w:val="left"/>
            </w:pPr>
            <w:r>
              <w:t xml:space="preserve">0</w:t>
            </w:r>
          </w:p>
        </w:tc>
        <w:tc>
          <w:p>
            <w:pPr>
              <w:pStyle w:val="Compact"/>
              <w:jc w:val="left"/>
            </w:pPr>
            <w:r>
              <w:t xml:space="preserve">2.2</w:t>
            </w:r>
          </w:p>
        </w:tc>
        <w:tc>
          <w:p>
            <w:pPr>
              <w:pStyle w:val="Compact"/>
              <w:jc w:val="left"/>
            </w:pPr>
            <w:r>
              <w:t xml:space="preserve">0</w:t>
            </w:r>
          </w:p>
        </w:tc>
        <w:tc>
          <w:p>
            <w:pPr>
              <w:pStyle w:val="Compact"/>
              <w:jc w:val="left"/>
            </w:pPr>
            <w:r>
              <w:t xml:space="preserve">0</w:t>
            </w:r>
          </w:p>
        </w:tc>
        <w:tc>
          <w:p>
            <w:pPr>
              <w:pStyle w:val="Compact"/>
              <w:jc w:val="left"/>
            </w:pPr>
            <w:r>
              <w:t xml:space="preserve">0.5</w:t>
            </w:r>
          </w:p>
        </w:tc>
      </w:tr>
    </w:tbl>
    <w:p>
      <w:pPr>
        <w:pStyle w:val="BodyText"/>
      </w:pPr>
      <w:r>
        <w:t xml:space="preserve"> </w:t>
      </w:r>
    </w:p>
    <w:p>
      <w:pPr>
        <w:pStyle w:val="BodyText"/>
      </w:pPr>
      <w:r>
        <w:t xml:space="preserve">The watershed characteristics included in Table</w:t>
      </w:r>
      <w:r>
        <w:t xml:space="preserve"> </w:t>
      </w:r>
      <w:r>
        <w:t xml:space="preserve">14</w:t>
      </w:r>
      <w:r>
        <w:t xml:space="preserve"> </w:t>
      </w:r>
      <w:r>
        <w:t xml:space="preserve">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pPr>
        <w:pStyle w:val="BodyText"/>
      </w:pPr>
      <w:r>
        <w:t xml:space="preserve"> </w:t>
      </w:r>
    </w:p>
    <w:p>
      <w:pPr>
        <w:pStyle w:val="Heading4"/>
      </w:pPr>
      <w:bookmarkStart w:id="90" w:name="X0a3693c4e48e6ba001e862b0ed887799ff56edb"/>
      <w:r>
        <w:t xml:space="preserve">Random Forests predictor variable refinement &amp; quality control</w:t>
      </w:r>
      <w:bookmarkEnd w:id="90"/>
    </w:p>
    <w:p>
      <w:pPr>
        <w:pStyle w:val="FirstParagraph"/>
      </w:pPr>
      <w:r>
        <w:t xml:space="preserve">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14</w:t>
      </w:r>
      <w:r>
        <w:t xml:space="preserve">) as well as sampling stage and antecedent weather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pPr>
        <w:pStyle w:val="BodyText"/>
      </w:pPr>
      <w:r>
        <w:t xml:space="preserve"> </w:t>
      </w:r>
    </w:p>
    <w:p>
      <w:pPr>
        <w:pStyle w:val="BodyText"/>
      </w:pPr>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argillite-metagreywacke (mudstone) and metagreywacke (meta-sandstone)) was correlated (-0.83) with 30-year logging history (percent of basin harvested 1980-2011). The Leech River geologic formation underlies the Weeks crk and West Leech sub-basins, which were also the two sub-basins least harvested since 1980 (Table</w:t>
      </w:r>
      <w:r>
        <w:t xml:space="preserve"> </w:t>
      </w:r>
      <w:r>
        <w:t xml:space="preserve">14</w:t>
      </w:r>
      <w:r>
        <w:t xml:space="preserve">). These are the types of correlations that could cause spurious VIM bias in RF, because it’s unlikely that the presence of meta-sedimentary parent material was the cause for these basins to be less harvested. Parent material variables were refined to metamorphic (wark gneiss) and igneous (Metchosin volcanics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pPr>
        <w:pStyle w:val="BodyText"/>
      </w:pPr>
      <w:r>
        <w:t xml:space="preserve"> </w:t>
      </w:r>
    </w:p>
    <w:p>
      <w:pPr>
        <w:pStyle w:val="BodyText"/>
      </w:pPr>
      <w:r>
        <w:t xml:space="preserve">The nine selected predictor variables for RF VIM assessment included:</w:t>
      </w:r>
    </w:p>
    <w:p>
      <w:pPr>
        <w:pStyle w:val="Compact"/>
        <w:numPr>
          <w:numId w:val="1002"/>
          <w:ilvl w:val="0"/>
        </w:numPr>
      </w:pPr>
      <w:r>
        <w:t xml:space="preserve">metamorphic parent-material (wark gneiss, percent of basin)</w:t>
      </w:r>
    </w:p>
    <w:p>
      <w:pPr>
        <w:pStyle w:val="Compact"/>
        <w:numPr>
          <w:numId w:val="1002"/>
          <w:ilvl w:val="0"/>
        </w:numPr>
      </w:pPr>
      <w:r>
        <w:t xml:space="preserve">igneous parent material (Metchosin volcanics &amp; gabbro stocks, percent of basin)</w:t>
      </w:r>
    </w:p>
    <w:p>
      <w:pPr>
        <w:pStyle w:val="Compact"/>
        <w:numPr>
          <w:numId w:val="1002"/>
          <w:ilvl w:val="0"/>
        </w:numPr>
      </w:pPr>
      <w:r>
        <w:t xml:space="preserve">drainage area (km</w:t>
      </w:r>
      <w:r>
        <w:rPr>
          <w:vertAlign w:val="superscript"/>
        </w:rPr>
        <w:t xml:space="preserve">2</w:t>
      </w:r>
      <w:r>
        <w:t xml:space="preserve">)</w:t>
      </w:r>
    </w:p>
    <w:p>
      <w:pPr>
        <w:pStyle w:val="Compact"/>
        <w:numPr>
          <w:numId w:val="1002"/>
          <w:ilvl w:val="0"/>
        </w:numPr>
      </w:pPr>
      <w:r>
        <w:t xml:space="preserve">mean basin slope (degrees)</w:t>
      </w:r>
    </w:p>
    <w:p>
      <w:pPr>
        <w:pStyle w:val="Compact"/>
        <w:numPr>
          <w:numId w:val="1002"/>
          <w:ilvl w:val="0"/>
        </w:numPr>
      </w:pPr>
      <w:r>
        <w:t xml:space="preserve">tree age (average, years)</w:t>
      </w:r>
    </w:p>
    <w:p>
      <w:pPr>
        <w:pStyle w:val="Compact"/>
        <w:numPr>
          <w:numId w:val="1002"/>
          <w:ilvl w:val="0"/>
        </w:numPr>
      </w:pPr>
      <w:r>
        <w:t xml:space="preserve">logging history (percent of basin harvested 1980-2011)</w:t>
      </w:r>
    </w:p>
    <w:p>
      <w:pPr>
        <w:pStyle w:val="Compact"/>
        <w:numPr>
          <w:numId w:val="1002"/>
          <w:ilvl w:val="0"/>
        </w:numPr>
      </w:pPr>
      <w:r>
        <w:t xml:space="preserve">antecedent 7-day air temperatures (°C, mean)</w:t>
      </w:r>
    </w:p>
    <w:p>
      <w:pPr>
        <w:pStyle w:val="Compact"/>
        <w:numPr>
          <w:numId w:val="1002"/>
          <w:ilvl w:val="0"/>
        </w:numPr>
      </w:pPr>
      <w:r>
        <w:t xml:space="preserve">antecedent 30-day rain (mm, total)</w:t>
      </w:r>
    </w:p>
    <w:p>
      <w:pPr>
        <w:pStyle w:val="Compact"/>
        <w:numPr>
          <w:numId w:val="1002"/>
          <w:ilvl w:val="0"/>
        </w:numPr>
      </w:pPr>
      <w:r>
        <w:t xml:space="preserve">sampling stage (normalized)</w:t>
      </w:r>
    </w:p>
    <w:p>
      <w:pPr>
        <w:pStyle w:val="FirstParagraph"/>
      </w:pPr>
      <w:r>
        <w:t xml:space="preserve"> </w:t>
      </w:r>
    </w:p>
    <w:p>
      <w:pPr>
        <w:pStyle w:val="BodyText"/>
      </w:pPr>
      <w:r>
        <w:t xml:space="preserve">Sampling stages for each site were scaled (min-max-normalized) to account for differences between Vertical Rack installations and to allow for comparison between sites (example calculation in Appendix</w:t>
      </w:r>
      <w:r>
        <w:t xml:space="preserve"> </w:t>
      </w:r>
      <w:r>
        <w:rPr>
          <w:i/>
        </w:rPr>
        <w:t xml:space="preserve">XXXX</w:t>
      </w:r>
      <w:r>
        <w:t xml:space="preserve">). For antecedent rain and air temperatures, different periods of time were considered in exploratory data analysis. Intervals of 3, 5, 7, 14, 21 and 30 days prior to sample collection were evaluated for cross-correlations and relative VIM results. The intervals of 30 days for antecedent rain and 7 days for antecedent air temperature were chosen because (1) they were not cross correlated with other predictor variables or each other and (2) each was more easily distinguished in VIM results than other interval options.</w:t>
      </w:r>
    </w:p>
    <w:p>
      <w:pPr>
        <w:pStyle w:val="BodyText"/>
      </w:pPr>
      <w:r>
        <w:t xml:space="preserve"> </w:t>
      </w:r>
    </w:p>
    <w:p>
      <w:pPr>
        <w:pStyle w:val="BodyText"/>
      </w:pPr>
      <w:r>
        <w:t xml:space="preserve">Furthermore, 30 days of rain could be considered as an indicator of overall antecedent landscape wetness, whereas shorter periods of rain may not have been adequate indicators of wetness due to interception, evaporation, or evapotranspiration losses.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 xml:space="preserve">2</w:t>
      </w:r>
      <w:r>
        <w:t xml:space="preserve">:E</w:t>
      </w:r>
      <w:r>
        <w:rPr>
          <w:vertAlign w:val="subscript"/>
        </w:rPr>
        <w:t xml:space="preserve">3</w:t>
      </w:r>
      <w:r>
        <w:t xml:space="preserve">,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pPr>
        <w:pStyle w:val="BodyText"/>
      </w:pPr>
      <w:r>
        <w:t xml:space="preserve"> </w:t>
      </w:r>
    </w:p>
    <w:p>
      <w:pPr>
        <w:pStyle w:val="BodyText"/>
      </w:pPr>
      <w:r>
        <w:t xml:space="preserve">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and RF bias can result from VIM assessment of combined categorical and quantitative predictor variables. So, sub-basin characteristics and conditions were evaluated independently as well as together to see if there was a shift in overall relative VIM ranking results.</w:t>
      </w:r>
    </w:p>
    <w:p>
      <w:pPr>
        <w:pStyle w:val="BodyText"/>
      </w:pPr>
      <w:r>
        <w:t xml:space="preserve"> </w:t>
      </w:r>
    </w:p>
    <w:p>
      <w:pPr>
        <w:pStyle w:val="BodyText"/>
      </w:pPr>
      <w:r>
        <w:t xml:space="preserve">RF is a black box; for that reason, a variable of random numbers was included in the VIM assessment as a mode of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pPr>
        <w:pStyle w:val="BodyText"/>
      </w:pPr>
      <w:r>
        <w:t xml:space="preserve"> </w:t>
      </w:r>
    </w:p>
    <w:p>
      <w:pPr>
        <w:pStyle w:val="BodyText"/>
      </w:pPr>
      <w:r>
        <w:t xml:space="preserve">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behaviour.</w:t>
      </w:r>
    </w:p>
    <w:p>
      <w:pPr>
        <w:pStyle w:val="BodyText"/>
      </w:pPr>
      <w:r>
        <w:t xml:space="preserve"> </w:t>
      </w:r>
    </w:p>
    <w:p>
      <w:pPr>
        <w:pStyle w:val="Heading4"/>
      </w:pPr>
      <w:bookmarkStart w:id="91" w:name="hysteresis-1"/>
      <w:r>
        <w:t xml:space="preserve">Hysteresis</w:t>
      </w:r>
      <w:bookmarkEnd w:id="91"/>
    </w:p>
    <w:p>
      <w:pPr>
        <w:pStyle w:val="FirstParagraph"/>
      </w:pPr>
      <w:r>
        <w:t xml:space="preserve">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w:t>
      </w:r>
    </w:p>
    <w:p>
      <w:pPr>
        <w:pStyle w:val="BodyText"/>
      </w:pPr>
      <w:r>
        <w:t xml:space="preserve"> </w:t>
      </w:r>
    </w:p>
    <w:p>
      <w:pPr>
        <w:pStyle w:val="BodyText"/>
      </w:pPr>
      <w:r>
        <w:t xml:space="preserve">For a C-Q hysteresis loop, clockwise rotation indicates rapid flushing and dilution, while counter-clockwise rotation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Because of the assumed relationship between antecedent rain and streamflow, a similar interpretation was used here despite the absence of discharge data.</w:t>
      </w:r>
    </w:p>
    <w:p>
      <w:pPr>
        <w:pStyle w:val="BodyText"/>
      </w:pPr>
      <w:r>
        <w:t xml:space="preserve"> </w:t>
      </w:r>
    </w:p>
    <w:p>
      <w:pPr>
        <w:pStyle w:val="Heading4"/>
      </w:pPr>
      <w:bookmarkStart w:id="92" w:name="evaluating-local-extrema"/>
      <w:r>
        <w:t xml:space="preserve">Evaluating local extrema</w:t>
      </w:r>
      <w:bookmarkEnd w:id="92"/>
    </w:p>
    <w:p>
      <w:pPr>
        <w:pStyle w:val="FirstParagraph"/>
      </w:pPr>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93" w:name="results-1"/>
      <w:r>
        <w:t xml:space="preserve">Results</w:t>
      </w:r>
      <w:bookmarkEnd w:id="93"/>
    </w:p>
    <w:p>
      <w:pPr>
        <w:pStyle w:val="FirstParagraph"/>
      </w:pPr>
      <w:r>
        <w:t xml:space="preserve"> </w:t>
      </w:r>
    </w:p>
    <w:p>
      <w:pPr>
        <w:pStyle w:val="Heading4"/>
      </w:pPr>
      <w:bookmarkStart w:id="94" w:name="random-forest-variable-importance"/>
      <w:r>
        <w:t xml:space="preserve">Random Forest variable importance</w:t>
      </w:r>
      <w:bookmarkEnd w:id="94"/>
    </w:p>
    <w:p>
      <w:pPr>
        <w:pStyle w:val="FirstParagraph"/>
      </w:pPr>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randomForest (RF): type 1 measures the mean decrease in accuracy and type 2 measures the decrease in node impurity</w:t>
      </w:r>
      <w:r>
        <w:t xml:space="preserve"> </w:t>
      </w:r>
      <w:r>
        <w:t xml:space="preserve">(Liaw and Wiener</w:t>
      </w:r>
      <w:r>
        <w:t xml:space="preserve"> </w:t>
      </w:r>
      <w:hyperlink w:anchor="ref-Liaw2018">
        <w:r>
          <w:rPr>
            <w:rStyle w:val="Hyperlink"/>
          </w:rPr>
          <w:t xml:space="preserve">2018</w:t>
        </w:r>
      </w:hyperlink>
      <w:r>
        <w:t xml:space="preserve">)</w:t>
      </w:r>
      <w:r>
        <w:t xml:space="preserve">.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w:t>
      </w:r>
      <w:r>
        <w:t xml:space="preserve"> </w:t>
      </w:r>
      <w:r>
        <w:t xml:space="preserve">(Liaw and Wiener</w:t>
      </w:r>
      <w:r>
        <w:t xml:space="preserve"> </w:t>
      </w:r>
      <w:hyperlink w:anchor="ref-Liaw2018">
        <w:r>
          <w:rPr>
            <w:rStyle w:val="Hyperlink"/>
          </w:rPr>
          <w:t xml:space="preserve">2018</w:t>
        </w:r>
      </w:hyperlink>
      <w:r>
        <w:t xml:space="preserve">)</w:t>
      </w:r>
      <w:r>
        <w:t xml:space="preserve">. These results clarified that type 1 VIM was the best choice and suggests that quantitative data is best assessed for VIM by mean decrease in accuracy (MSE, type 1) rather than mean decrease in node impurity (SSE, type 2).</w:t>
      </w:r>
    </w:p>
    <w:p>
      <w:pPr>
        <w:pStyle w:val="BodyText"/>
      </w:pPr>
      <w:r>
        <w:t xml:space="preserve"> </w:t>
      </w:r>
    </w:p>
    <w:p>
      <w:pPr>
        <w:pStyle w:val="BodyText"/>
      </w:pPr>
      <w:r>
        <w:t xml:space="preserve">Sub-basin characteristics and conditions were evaluated independently as well as together to see if there was a shift in VIM relative rankings due to the combination of static and dynamic values. While it was expected that the relative importance (as a percent) would shift when all predictant variables were combined, it was not expected that the relative ranking would change – but it did. When dynamic conditions and static characteristics were combined for RF VIM, the relative ranking of several predictants were changed compared to when conditions and characteristics were analyzed separately (see Appendix</w:t>
      </w:r>
      <w:r>
        <w:t xml:space="preserve"> </w:t>
      </w:r>
      <w:r>
        <w:rPr>
          <w:i/>
        </w:rPr>
        <w:t xml:space="preserve">XXXX</w:t>
      </w:r>
      <w:r>
        <w:t xml:space="preserve">, Figure</w:t>
      </w:r>
      <w:r>
        <w:t xml:space="preserve"> </w:t>
      </w:r>
      <w:r>
        <w:t xml:space="preserve">40</w:t>
      </w:r>
      <w:r>
        <w:t xml:space="preserve">, for plots of combined predictors). These results suggest that static and dynamic predictor variables should be separated for RF VIM. 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were treated for regression while static variables were treated categorically. VIM results are presented for the three predictants (DOC,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with conditions and characteristics grouped separately.</w:t>
      </w:r>
    </w:p>
    <w:p>
      <w:pPr>
        <w:pStyle w:val="BodyText"/>
      </w:pPr>
      <w:r>
        <w:t xml:space="preserve"> </w:t>
      </w:r>
    </w:p>
    <w:p>
      <w:pPr>
        <w:pStyle w:val="Heading5"/>
      </w:pPr>
      <w:bookmarkStart w:id="95" w:name="doc-concentration"/>
      <w:r>
        <w:t xml:space="preserve">DOC: concentration</w:t>
      </w:r>
      <w:bookmarkEnd w:id="95"/>
    </w:p>
    <w:p>
      <w:pPr>
        <w:pStyle w:val="FirstParagraph"/>
      </w:pPr>
      <w:r>
        <w:t xml:space="preserve">Across the Leech WSA monitoring sites, the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average tree age (Figure</w:t>
      </w:r>
      <w:r>
        <w:t xml:space="preserve"> </w:t>
      </w:r>
      <w:r>
        <w:t xml:space="preserve">14</w:t>
      </w:r>
      <w:r>
        <w:t xml:space="preserve">).</w:t>
      </w:r>
    </w:p>
    <w:p>
      <w:pPr>
        <w:pStyle w:val="BodyText"/>
      </w:pPr>
      <w:r>
        <w:t xml:space="preserve"> </w:t>
      </w:r>
    </w:p>
    <w:p>
      <w:pPr>
        <w:pStyle w:val="CaptionedFigure"/>
      </w:pPr>
      <w:r>
        <w:drawing>
          <wp:inline>
            <wp:extent cx="5504749" cy="3669832"/>
            <wp:effectExtent b="0" l="0" r="0" t="0"/>
            <wp:docPr descr="Figure 14: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DOC.png" id="0" name="Picture"/>
                    <pic:cNvPicPr>
                      <a:picLocks noChangeArrowheads="1" noChangeAspect="1"/>
                    </pic:cNvPicPr>
                  </pic:nvPicPr>
                  <pic:blipFill>
                    <a:blip r:embed="rId9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Variable importance for predicting NOM concentration (DOC)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97" w:name="sac254-reactivity-aromaticity"/>
      <w:r>
        <w:t xml:space="preserve">SAC</w:t>
      </w:r>
      <w:r>
        <w:rPr>
          <w:vertAlign w:val="subscript"/>
        </w:rPr>
        <w:t xml:space="preserve">254</w:t>
      </w:r>
      <w:r>
        <w:t xml:space="preserve">: reactivity &amp; aromaticity</w:t>
      </w:r>
      <w:bookmarkEnd w:id="97"/>
    </w:p>
    <w:p>
      <w:pPr>
        <w:pStyle w:val="FirstParagraph"/>
      </w:pPr>
      <w:r>
        <w:t xml:space="preserve">Like concentration, SAC</w:t>
      </w:r>
      <w:r>
        <w:rPr>
          <w:vertAlign w:val="subscript"/>
        </w:rPr>
        <w:t xml:space="preserve">254</w:t>
      </w:r>
      <w:r>
        <w:t xml:space="preserve"> </w:t>
      </w:r>
      <w:r>
        <w:t xml:space="preserve">was best predicted by sampling stage. Unlike DOC, SAC</w:t>
      </w:r>
      <w:r>
        <w:rPr>
          <w:vertAlign w:val="subscript"/>
        </w:rPr>
        <w:t xml:space="preserve">254</w:t>
      </w:r>
      <w:r>
        <w:t xml:space="preserve"> </w:t>
      </w:r>
      <w:r>
        <w:t xml:space="preserve">was relatively more sensitive to antecedent rain than air temperatures. The top three watershed characteristic predictors for NOM aromaticity and reactivity (SAC</w:t>
      </w:r>
      <w:r>
        <w:rPr>
          <w:vertAlign w:val="subscript"/>
        </w:rPr>
        <w:t xml:space="preserve">254</w:t>
      </w:r>
      <w:r>
        <w:t xml:space="preserve">) were slope, percent of the basin underlain by metamorphic parent material (wark gneiss), and logging history (Figure</w:t>
      </w:r>
      <w:r>
        <w:t xml:space="preserve"> </w:t>
      </w:r>
      <w:r>
        <w:t xml:space="preserve">15</w:t>
      </w:r>
      <w:r>
        <w:t xml:space="preserve">).</w:t>
      </w:r>
    </w:p>
    <w:p>
      <w:pPr>
        <w:pStyle w:val="BodyText"/>
      </w:pPr>
      <w:r>
        <w:t xml:space="preserve"> </w:t>
      </w:r>
    </w:p>
    <w:p>
      <w:pPr>
        <w:pStyle w:val="CaptionedFigure"/>
      </w:pPr>
      <w:r>
        <w:drawing>
          <wp:inline>
            <wp:extent cx="5504749" cy="3669832"/>
            <wp:effectExtent b="0" l="0" r="0" t="0"/>
            <wp:docPr descr="Figure 15: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SAC254.png" id="0" name="Picture"/>
                    <pic:cNvPicPr>
                      <a:picLocks noChangeArrowheads="1" noChangeAspect="1"/>
                    </pic:cNvPicPr>
                  </pic:nvPicPr>
                  <pic:blipFill>
                    <a:blip r:embed="rId9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Variable importance for predicting NOM molecular aromaticity (SAC</w:t>
      </w:r>
      <w:r>
        <w:rPr>
          <w:vertAlign w:val="subscript"/>
        </w:rPr>
        <w:t xml:space="preserve">254</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99" w:name="e2e3-molecular-size-aromaticity"/>
      <w:r>
        <w:t xml:space="preserve">E</w:t>
      </w:r>
      <w:r>
        <w:rPr>
          <w:vertAlign w:val="subscript"/>
        </w:rPr>
        <w:t xml:space="preserve">2</w:t>
      </w:r>
      <w:r>
        <w:t xml:space="preserve">:E</w:t>
      </w:r>
      <w:r>
        <w:rPr>
          <w:vertAlign w:val="subscript"/>
        </w:rPr>
        <w:t xml:space="preserve">3</w:t>
      </w:r>
      <w:r>
        <w:t xml:space="preserve">: molecular size &amp; aromaticity</w:t>
      </w:r>
      <w:bookmarkEnd w:id="99"/>
    </w:p>
    <w:p>
      <w:pPr>
        <w:pStyle w:val="FirstParagraph"/>
      </w:pPr>
      <w:r>
        <w:t xml:space="preserve">Sampling conditions VIM ranking for E</w:t>
      </w:r>
      <w:r>
        <w:rPr>
          <w:vertAlign w:val="subscript"/>
        </w:rPr>
        <w:t xml:space="preserve">2</w:t>
      </w:r>
      <w:r>
        <w:t xml:space="preserve">:E</w:t>
      </w:r>
      <w:r>
        <w:rPr>
          <w:vertAlign w:val="subscript"/>
        </w:rPr>
        <w:t xml:space="preserve">3</w:t>
      </w:r>
      <w:r>
        <w:t xml:space="preserve"> </w:t>
      </w:r>
      <w:r>
        <w:t xml:space="preserve">were the reverse of those for DOC. NOM molecular size and aromaticity (E</w:t>
      </w:r>
      <w:r>
        <w:rPr>
          <w:vertAlign w:val="subscript"/>
        </w:rPr>
        <w:t xml:space="preserve">2</w:t>
      </w:r>
      <w:r>
        <w:t xml:space="preserve">:E</w:t>
      </w:r>
      <w:r>
        <w:rPr>
          <w:vertAlign w:val="subscript"/>
        </w:rPr>
        <w:t xml:space="preserve">3</w:t>
      </w:r>
      <w:r>
        <w:t xml:space="preserve">) was best predicted by antecedent 30-day rain, followed by 7-day air temperatures and then sampling stage. The top three watershed characteristic predictors for E</w:t>
      </w:r>
      <w:r>
        <w:rPr>
          <w:vertAlign w:val="subscript"/>
        </w:rPr>
        <w:t xml:space="preserve">2</w:t>
      </w:r>
      <w:r>
        <w:t xml:space="preserve">:E</w:t>
      </w:r>
      <w:r>
        <w:rPr>
          <w:vertAlign w:val="subscript"/>
        </w:rPr>
        <w:t xml:space="preserve">3</w:t>
      </w:r>
      <w:r>
        <w:t xml:space="preserve"> </w:t>
      </w:r>
      <w:r>
        <w:t xml:space="preserve">were percent of the basin logged from 1980-2011, followed by percent underlain by metamorphic parent material (wark gneiss) which was nearly tied with average tree age (Figure</w:t>
      </w:r>
      <w:r>
        <w:t xml:space="preserve"> </w:t>
      </w:r>
      <w:r>
        <w:t xml:space="preserve">16</w:t>
      </w:r>
      <w:r>
        <w:t xml:space="preserve">).</w:t>
      </w:r>
    </w:p>
    <w:p>
      <w:pPr>
        <w:pStyle w:val="BodyText"/>
      </w:pPr>
      <w:r>
        <w:t xml:space="preserve"> </w:t>
      </w:r>
    </w:p>
    <w:p>
      <w:pPr>
        <w:pStyle w:val="CaptionedFigure"/>
      </w:pPr>
      <w:r>
        <w:drawing>
          <wp:inline>
            <wp:extent cx="5504749" cy="3669832"/>
            <wp:effectExtent b="0" l="0" r="0" t="0"/>
            <wp:docPr descr="Figure 16: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E2E3.png" id="0" name="Picture"/>
                    <pic:cNvPicPr>
                      <a:picLocks noChangeArrowheads="1" noChangeAspect="1"/>
                    </pic:cNvPicPr>
                  </pic:nvPicPr>
                  <pic:blipFill>
                    <a:blip r:embed="rId10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Variable importance for predicting NOM aromaticity &amp; molecular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4"/>
      </w:pPr>
      <w:bookmarkStart w:id="101" w:name="X05806a16612bf99e348f6b4d67c096a5e8ca3ee"/>
      <w:r>
        <w:t xml:space="preserve">Predictors in relation to NOM concentration and character</w:t>
      </w:r>
      <w:bookmarkEnd w:id="101"/>
    </w:p>
    <w:p>
      <w:pPr>
        <w:pStyle w:val="FirstParagraph"/>
      </w:pPr>
      <w:r>
        <w:t xml:space="preserve">When all variables were assessed together, sampling conditions were relatively more important than watershed characteristics for predicting NOM concentration and character across the Leech WSA monitoring sites (Appendix, Figure</w:t>
      </w:r>
      <w:r>
        <w:t xml:space="preserve"> </w:t>
      </w:r>
      <w:r>
        <w:t xml:space="preserve">40</w:t>
      </w:r>
      <w:r>
        <w:t xml:space="preserve">).</w:t>
      </w:r>
    </w:p>
    <w:p>
      <w:pPr>
        <w:pStyle w:val="BodyText"/>
      </w:pPr>
      <w:r>
        <w:t xml:space="preserve"> </w:t>
      </w:r>
    </w:p>
    <w:p>
      <w:pPr>
        <w:pStyle w:val="Heading5"/>
      </w:pPr>
      <w:bookmarkStart w:id="102" w:name="sampling-conditions"/>
      <w:r>
        <w:t xml:space="preserve">Sampling conditions</w:t>
      </w:r>
      <w:bookmarkEnd w:id="102"/>
    </w:p>
    <w:p>
      <w:pPr>
        <w:pStyle w:val="FirstParagraph"/>
      </w:pPr>
      <w:r>
        <w:t xml:space="preserve">The ranking of relative importance for sampling conditions were in reverse order for DOC (stage, temp, rain) and E</w:t>
      </w:r>
      <w:r>
        <w:rPr>
          <w:vertAlign w:val="subscript"/>
        </w:rPr>
        <w:t xml:space="preserve">2</w:t>
      </w:r>
      <w:r>
        <w:t xml:space="preserve">:E</w:t>
      </w:r>
      <w:r>
        <w:rPr>
          <w:vertAlign w:val="subscript"/>
        </w:rPr>
        <w:t xml:space="preserve">3</w:t>
      </w:r>
      <w:r>
        <w:t xml:space="preserve"> </w:t>
      </w:r>
      <w:r>
        <w:t xml:space="preserve">(rain, temp, stage). Like DOC, SAC</w:t>
      </w:r>
      <w:r>
        <w:rPr>
          <w:vertAlign w:val="subscript"/>
        </w:rPr>
        <w:t xml:space="preserve">254</w:t>
      </w:r>
      <w:r>
        <w:t xml:space="preserve"> </w:t>
      </w:r>
      <w:r>
        <w:t xml:space="preserve">was influence most by sampling stage; and like E</w:t>
      </w:r>
      <w:r>
        <w:rPr>
          <w:vertAlign w:val="subscript"/>
        </w:rPr>
        <w:t xml:space="preserve">2</w:t>
      </w:r>
      <w:r>
        <w:t xml:space="preserve">:E</w:t>
      </w:r>
      <w:r>
        <w:rPr>
          <w:vertAlign w:val="subscript"/>
        </w:rPr>
        <w:t xml:space="preserve">3</w:t>
      </w:r>
      <w:r>
        <w:t xml:space="preserve">, SAC</w:t>
      </w:r>
      <w:r>
        <w:rPr>
          <w:vertAlign w:val="subscript"/>
        </w:rPr>
        <w:t xml:space="preserve">254</w:t>
      </w:r>
      <w:r>
        <w:t xml:space="preserve"> </w:t>
      </w:r>
      <w:r>
        <w:t xml:space="preserve">was more sensitive to antecedent wetness than antecedent air temperatures. 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p>
    <w:p>
      <w:pPr>
        <w:pStyle w:val="BodyText"/>
      </w:pPr>
      <w:r>
        <w:t xml:space="preserve"> </w:t>
      </w:r>
    </w:p>
    <w:p>
      <w:pPr>
        <w:pStyle w:val="Heading6"/>
      </w:pPr>
      <w:bookmarkStart w:id="103" w:name="sampling-stage"/>
      <w:r>
        <w:t xml:space="preserve">Sampling stage</w:t>
      </w:r>
      <w:bookmarkEnd w:id="103"/>
    </w:p>
    <w:p>
      <w:pPr>
        <w:pStyle w:val="FirstParagraph"/>
      </w:pPr>
      <w:r>
        <w:t xml:space="preserve">Stream stage at the time of sample collection was the most important condition predictor variable for DOC and SAC</w:t>
      </w:r>
      <w:r>
        <w:rPr>
          <w:vertAlign w:val="subscript"/>
        </w:rPr>
        <w:t xml:space="preserve">254</w:t>
      </w:r>
      <w:r>
        <w:t xml:space="preserve">. Concentration of DOC increased with increasing stage up to approximately 60% of maximum sampling stage at each site. The same relationship was seen (albeit more dramatically) for SAC</w:t>
      </w:r>
      <w:r>
        <w:rPr>
          <w:vertAlign w:val="subscript"/>
        </w:rPr>
        <w:t xml:space="preserve">254</w:t>
      </w:r>
      <w:r>
        <w:t xml:space="preserve"> </w:t>
      </w:r>
      <w:r>
        <w:t xml:space="preserve">(Figure</w:t>
      </w:r>
      <w:r>
        <w:t xml:space="preserve"> </w:t>
      </w:r>
      <w:r>
        <w:t xml:space="preserve">17</w:t>
      </w:r>
      <w:r>
        <w:t xml:space="preserve">).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pPr>
        <w:pStyle w:val="BodyText"/>
      </w:pPr>
      <w:r>
        <w:t xml:space="preserve"> </w:t>
      </w:r>
    </w:p>
    <w:p>
      <w:pPr>
        <w:pStyle w:val="BodyText"/>
      </w:pPr>
      <w:r>
        <w:t xml:space="preserve">Stream stage was the least important sampling condition for predicting E</w:t>
      </w:r>
      <w:r>
        <w:rPr>
          <w:vertAlign w:val="subscript"/>
        </w:rPr>
        <w:t xml:space="preserve">2</w:t>
      </w:r>
      <w:r>
        <w:t xml:space="preserve">:E</w:t>
      </w:r>
      <w:r>
        <w:rPr>
          <w:vertAlign w:val="subscript"/>
        </w:rPr>
        <w:t xml:space="preserve">3</w:t>
      </w:r>
      <w:r>
        <w:t xml:space="preserve"> </w:t>
      </w:r>
      <w:r>
        <w:t xml:space="preserve">(below antecedent rain and air temperature), and the two variables were inversely related. This pattern supports results of stage in relation to SAC</w:t>
      </w:r>
      <w:r>
        <w:rPr>
          <w:vertAlign w:val="subscript"/>
        </w:rPr>
        <w:t xml:space="preserve">254</w:t>
      </w:r>
      <w:r>
        <w:t xml:space="preserve"> </w:t>
      </w:r>
      <w:r>
        <w:t xml:space="preserve">and shows that as stream stage increased across the Leech WSA, so too did NOM molecular size &amp; aromaticity. Like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60-75% of maximum stage (indicated by the greater uncertainty in the loess trend line, Figure</w:t>
      </w:r>
      <w:r>
        <w:t xml:space="preserve"> </w:t>
      </w:r>
      <w:r>
        <w:t xml:space="preserve">17</w:t>
      </w:r>
      <w:r>
        <w:t xml:space="preserve">)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humic in nature.</w:t>
      </w:r>
    </w:p>
    <w:p>
      <w:pPr>
        <w:pStyle w:val="BodyText"/>
      </w:pPr>
      <w:r>
        <w:t xml:space="preserve"> </w:t>
      </w:r>
    </w:p>
    <w:p>
      <w:pPr>
        <w:pStyle w:val="CaptionedFigure"/>
      </w:pPr>
      <w:r>
        <w:drawing>
          <wp:inline>
            <wp:extent cx="3669832" cy="4587290"/>
            <wp:effectExtent b="0" l="0" r="0" t="0"/>
            <wp:docPr descr="Figure 17:  Sampling stage as a predictor for NOM concentration (DOC) and character (SAC254 &amp; E2:E3). Each plot includes a loess trend line." title="" id="1" name="Picture"/>
            <a:graphic>
              <a:graphicData uri="http://schemas.openxmlformats.org/drawingml/2006/picture">
                <pic:pic>
                  <pic:nvPicPr>
                    <pic:cNvPr descr="R-outputs_UBC-forWater-MSc_HMc/figures/Ch4_RF_stage.png" id="0" name="Picture"/>
                    <pic:cNvPicPr>
                      <a:picLocks noChangeArrowheads="1" noChangeAspect="1"/>
                    </pic:cNvPicPr>
                  </pic:nvPicPr>
                  <pic:blipFill>
                    <a:blip r:embed="rId104"/>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Sampling stage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Each plot includes a loess trend line.</w:t>
      </w:r>
    </w:p>
    <w:p>
      <w:pPr>
        <w:pStyle w:val="BodyText"/>
      </w:pPr>
      <w:r>
        <w:t xml:space="preserve"> </w:t>
      </w:r>
    </w:p>
    <w:p>
      <w:pPr>
        <w:pStyle w:val="Heading6"/>
      </w:pPr>
      <w:bookmarkStart w:id="105" w:name="antecedent-7-day-air-temperature"/>
      <w:r>
        <w:t xml:space="preserve">Antecedent 7-day air temperature</w:t>
      </w:r>
      <w:bookmarkEnd w:id="105"/>
    </w:p>
    <w:p>
      <w:pPr>
        <w:pStyle w:val="FirstParagraph"/>
      </w:pPr>
      <w:r>
        <w:t xml:space="preserve">Antecedent 7-day air temperature (mean air temperature for the 7-day period prior to sample collection) ranked second most important for predicting DOC and E</w:t>
      </w:r>
      <w:r>
        <w:rPr>
          <w:vertAlign w:val="subscript"/>
        </w:rPr>
        <w:t xml:space="preserve">2</w:t>
      </w:r>
      <w:r>
        <w:t xml:space="preserve">:E</w:t>
      </w:r>
      <w:r>
        <w:rPr>
          <w:vertAlign w:val="subscript"/>
        </w:rPr>
        <w:t xml:space="preserve">3</w:t>
      </w:r>
      <w:r>
        <w:t xml:space="preserve"> </w:t>
      </w:r>
      <w:r>
        <w:t xml:space="preserve">and was the least important (third) sampling condition for predicting SAC</w:t>
      </w:r>
      <w:r>
        <w:rPr>
          <w:vertAlign w:val="subscript"/>
        </w:rPr>
        <w:t xml:space="preserve">254</w:t>
      </w:r>
      <w:r>
        <w:t xml:space="preserve">. The concentration, reactivity, aromaticity and molecular weight of NOM increased with antecedent air temperature up to approximately 10°C (Figure</w:t>
      </w:r>
      <w:r>
        <w:t xml:space="preserve"> </w:t>
      </w:r>
      <w:r>
        <w:t xml:space="preserve">18</w:t>
      </w:r>
      <w:r>
        <w:t xml:space="preserve">). DOC and 7-day temperature were positively related in the wet season with no obvious relationship in the dry season (Appendix</w:t>
      </w:r>
      <w:r>
        <w:t xml:space="preserve"> </w:t>
      </w:r>
      <w:r>
        <w:rPr>
          <w:i/>
        </w:rPr>
        <w:t xml:space="preserve">XXX</w:t>
      </w:r>
      <w:r>
        <w:t xml:space="preserve">, Figure</w:t>
      </w:r>
      <w:r>
        <w:t xml:space="preserve"> </w:t>
      </w:r>
      <w:r>
        <w:t xml:space="preserve">41</w:t>
      </w:r>
      <w:r>
        <w:t xml:space="preserve">) and too few spectral samples were collected in the dry season to shed light on seasonal trends in NOM character with antecedent temperatures.</w:t>
      </w:r>
    </w:p>
    <w:p>
      <w:pPr>
        <w:pStyle w:val="BodyText"/>
      </w:pPr>
      <w:r>
        <w:t xml:space="preserve"> </w:t>
      </w:r>
    </w:p>
    <w:p>
      <w:pPr>
        <w:pStyle w:val="CaptionedFigure"/>
      </w:pPr>
      <w:r>
        <w:drawing>
          <wp:inline>
            <wp:extent cx="3669832" cy="4587290"/>
            <wp:effectExtent b="0" l="0" r="0" t="0"/>
            <wp:docPr descr="Figure 18:  Antecedent 7-day air temperature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temp.png" id="0" name="Picture"/>
                    <pic:cNvPicPr>
                      <a:picLocks noChangeArrowheads="1" noChangeAspect="1"/>
                    </pic:cNvPicPr>
                  </pic:nvPicPr>
                  <pic:blipFill>
                    <a:blip r:embed="rId106"/>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Antecedent 7-day air temperature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6"/>
      </w:pPr>
      <w:bookmarkStart w:id="107" w:name="antecedent-30-day-rain"/>
      <w:r>
        <w:t xml:space="preserve">Antecedent 30-day rain</w:t>
      </w:r>
      <w:bookmarkEnd w:id="107"/>
    </w:p>
    <w:p>
      <w:pPr>
        <w:pStyle w:val="FirstParagraph"/>
      </w:pPr>
      <w:r>
        <w:t xml:space="preserve">Antecedent 30-day cumulative rain (i.e. antecedent wetness) was the sampling condition calculated to have the greatest relative importance in predicting E</w:t>
      </w:r>
      <w:r>
        <w:rPr>
          <w:vertAlign w:val="subscript"/>
        </w:rPr>
        <w:t xml:space="preserve">2</w:t>
      </w:r>
      <w:r>
        <w:t xml:space="preserve">:E</w:t>
      </w:r>
      <w:r>
        <w:rPr>
          <w:vertAlign w:val="subscript"/>
        </w:rPr>
        <w:t xml:space="preserve">3</w:t>
      </w:r>
      <w:r>
        <w:t xml:space="preserve">, second-most importance for SAC</w:t>
      </w:r>
      <w:r>
        <w:rPr>
          <w:vertAlign w:val="subscript"/>
        </w:rPr>
        <w:t xml:space="preserve">254</w:t>
      </w:r>
      <w:r>
        <w:t xml:space="preserve"> </w:t>
      </w:r>
      <w:r>
        <w:t xml:space="preserve">and was the least important sampling condition for predicting DOC concentration. As antecedent 30-day rain increased to approximately 150 mm, there was an apparent decrease in NOM aromaticity and molecular size (E</w:t>
      </w:r>
      <w:r>
        <w:rPr>
          <w:vertAlign w:val="subscript"/>
        </w:rPr>
        <w:t xml:space="preserve">2</w:t>
      </w:r>
      <w:r>
        <w:t xml:space="preserve">:E</w:t>
      </w:r>
      <w:r>
        <w:rPr>
          <w:vertAlign w:val="subscript"/>
        </w:rPr>
        <w:t xml:space="preserve">3</w:t>
      </w:r>
      <w:r>
        <w:t xml:space="preserve"> </w:t>
      </w:r>
      <w:r>
        <w:t xml:space="preserve">increased); above ~150 mm (~25% of maximum antecedent 30-day rain), NOM aromaticity and molecular size increased. At approximately 300 mm of 30-day antecedent rain, NOM aromaticity and molecular size appeared to become less variable (Figure</w:t>
      </w:r>
      <w:r>
        <w:t xml:space="preserve"> </w:t>
      </w:r>
      <w:r>
        <w:t xml:space="preserve">19</w:t>
      </w:r>
      <w:r>
        <w:t xml:space="preserve">).</w:t>
      </w:r>
    </w:p>
    <w:p>
      <w:pPr>
        <w:pStyle w:val="BodyText"/>
      </w:pPr>
      <w:r>
        <w:t xml:space="preserve"> </w:t>
      </w:r>
    </w:p>
    <w:p>
      <w:pPr>
        <w:pStyle w:val="BodyText"/>
      </w:pPr>
      <w:r>
        <w:t xml:space="preserve">Fewer sample results existed for SAC</w:t>
      </w:r>
      <w:r>
        <w:rPr>
          <w:vertAlign w:val="subscript"/>
        </w:rPr>
        <w:t xml:space="preserve">254</w:t>
      </w:r>
      <w:r>
        <w:t xml:space="preserve">, with a data gap for samples collected between 200 mm and 400 mm of 30-day antecedent rain; therefore, the pattern of SAC</w:t>
      </w:r>
      <w:r>
        <w:rPr>
          <w:vertAlign w:val="subscript"/>
        </w:rPr>
        <w:t xml:space="preserve">254</w:t>
      </w:r>
      <w:r>
        <w:t xml:space="preserve"> </w:t>
      </w:r>
      <w:r>
        <w:t xml:space="preserve">with antecedent wetness was less precise (large uncertainty, Figure</w:t>
      </w:r>
      <w:r>
        <w:t xml:space="preserve"> </w:t>
      </w:r>
      <w:r>
        <w:t xml:space="preserve">19</w:t>
      </w:r>
      <w:r>
        <w:t xml:space="preserve">). For the available data, rain accumulation in the 30 days prior to sample collection was positively related to SAC</w:t>
      </w:r>
      <w:r>
        <w:rPr>
          <w:vertAlign w:val="subscript"/>
        </w:rPr>
        <w:t xml:space="preserve">254</w:t>
      </w:r>
      <w:r>
        <w:t xml:space="preserve"> </w:t>
      </w:r>
      <w:r>
        <w:t xml:space="preserve">up to approximately 150 mm and SAC</w:t>
      </w:r>
      <w:r>
        <w:rPr>
          <w:vertAlign w:val="subscript"/>
        </w:rPr>
        <w:t xml:space="preserve">254</w:t>
      </w:r>
      <w:r>
        <w:t xml:space="preserve"> </w:t>
      </w:r>
      <w:r>
        <w:t xml:space="preserve">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crk, Leech-head) showed a steeper decline in DOC with increasing 30-day antecedent rain (site-specific plot in Appendix</w:t>
      </w:r>
      <w:r>
        <w:t xml:space="preserve"> </w:t>
      </w:r>
      <w:r>
        <w:rPr>
          <w:i/>
        </w:rPr>
        <w:t xml:space="preserve">XXXXX</w:t>
      </w:r>
      <w:r>
        <w:t xml:space="preserve">, Figure</w:t>
      </w:r>
      <w:r>
        <w:t xml:space="preserve"> </w:t>
      </w:r>
      <w:r>
        <w:t xml:space="preserve">42</w:t>
      </w:r>
      <w:r>
        <w:t xml:space="preserve">).</w:t>
      </w:r>
    </w:p>
    <w:p>
      <w:pPr>
        <w:pStyle w:val="BodyText"/>
      </w:pPr>
      <w:r>
        <w:t xml:space="preserve"> </w:t>
      </w:r>
    </w:p>
    <w:p>
      <w:pPr>
        <w:pStyle w:val="CaptionedFigure"/>
      </w:pPr>
      <w:r>
        <w:drawing>
          <wp:inline>
            <wp:extent cx="3669832" cy="4587290"/>
            <wp:effectExtent b="0" l="0" r="0" t="0"/>
            <wp:docPr descr="Figure 19: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png" id="0" name="Picture"/>
                    <pic:cNvPicPr>
                      <a:picLocks noChangeArrowheads="1" noChangeAspect="1"/>
                    </pic:cNvPicPr>
                  </pic:nvPicPr>
                  <pic:blipFill>
                    <a:blip r:embed="rId108"/>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BodyText"/>
      </w:pPr>
      <w:r>
        <w:t xml:space="preserve">These patterns of antecedent wetness with DOC and E</w:t>
      </w:r>
      <w:r>
        <w:rPr>
          <w:vertAlign w:val="subscript"/>
        </w:rPr>
        <w:t xml:space="preserve">2</w:t>
      </w:r>
      <w:r>
        <w:t xml:space="preserve">:E</w:t>
      </w:r>
      <w:r>
        <w:rPr>
          <w:vertAlign w:val="subscript"/>
        </w:rPr>
        <w:t xml:space="preserve">3</w:t>
      </w:r>
      <w:r>
        <w:t xml:space="preserve"> </w:t>
      </w:r>
      <w:r>
        <w:t xml:space="preserve">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support seasonal characteristic shifts described in Chapter 3, which follow prediction of the River Continuum Concept.</w:t>
      </w:r>
    </w:p>
    <w:p>
      <w:pPr>
        <w:pStyle w:val="BodyText"/>
      </w:pPr>
      <w:r>
        <w:t xml:space="preserve"> </w:t>
      </w:r>
    </w:p>
    <w:p>
      <w:pPr>
        <w:pStyle w:val="Heading5"/>
      </w:pPr>
      <w:bookmarkStart w:id="109" w:name="watershed-characteristics"/>
      <w:r>
        <w:t xml:space="preserve">Watershed characteristics</w:t>
      </w:r>
      <w:bookmarkEnd w:id="109"/>
    </w:p>
    <w:p>
      <w:pPr>
        <w:pStyle w:val="FirstParagraph"/>
      </w:pPr>
      <w:r>
        <w:t xml:space="preserve">Of watershed characteristics, the top predictors for NOM concentration and character were a combination of mean sub-basin slope, metamorphic parent material (percent of basin), logging history (percent of basin harvested 1980-2011), tree age (average) and/or drainage area.</w:t>
      </w:r>
    </w:p>
    <w:p>
      <w:pPr>
        <w:pStyle w:val="BodyText"/>
      </w:pPr>
      <w:r>
        <w:t xml:space="preserve"> </w:t>
      </w:r>
    </w:p>
    <w:p>
      <w:pPr>
        <w:pStyle w:val="Heading6"/>
      </w:pPr>
      <w:bookmarkStart w:id="110" w:name="sub-basin-slope"/>
      <w:r>
        <w:t xml:space="preserve">Sub-basin slope</w:t>
      </w:r>
      <w:bookmarkEnd w:id="110"/>
    </w:p>
    <w:p>
      <w:pPr>
        <w:pStyle w:val="FirstParagraph"/>
      </w:pPr>
      <w:r>
        <w:t xml:space="preserve">Sub-basin slope ranked most important as a predictor for DOC and SAC</w:t>
      </w:r>
      <w:r>
        <w:rPr>
          <w:vertAlign w:val="subscript"/>
        </w:rPr>
        <w:t xml:space="preserve">254</w:t>
      </w:r>
      <w:r>
        <w:t xml:space="preserve">. Across the six monitoring sites, the relationship between slope and these two variables was not linear but in general, lower sub-basin slope was related to higher DOC. A pattern appeared, where the six monitoring basins were grouped in pairs with two sites each between mean slopes of 9°- 10°, 10°- 11° and 11°- 12°. Within these pairs, the basin with lower slope had slightly greater NOM aromaticity, reactivity and concentration (Figure</w:t>
      </w:r>
      <w:r>
        <w:t xml:space="preserve"> </w:t>
      </w:r>
      <w:r>
        <w:t xml:space="preserve">20</w:t>
      </w:r>
      <w:r>
        <w:t xml:space="preserve">). Slope was negatively correlated to percent wetland (-0.73), and wetlands are known to be linked with high DOC concentrations and greater NOM aromaticity. Indeed, SAC</w:t>
      </w:r>
      <w:r>
        <w:rPr>
          <w:vertAlign w:val="subscript"/>
        </w:rPr>
        <w:t xml:space="preserve">254</w:t>
      </w:r>
      <w:r>
        <w:t xml:space="preserve"> </w:t>
      </w:r>
      <w:r>
        <w:t xml:space="preserve">indicated higher aromaticity in sub-basins with lower mean slope (Figure</w:t>
      </w:r>
      <w:r>
        <w:t xml:space="preserve"> </w:t>
      </w:r>
      <w:r>
        <w:t xml:space="preserve">20</w:t>
      </w:r>
      <w:r>
        <w:t xml:space="preserve">). While slope was not ranked as a strong predictor for E</w:t>
      </w:r>
      <w:r>
        <w:rPr>
          <w:vertAlign w:val="subscript"/>
        </w:rPr>
        <w:t xml:space="preserve">2</w:t>
      </w:r>
      <w:r>
        <w:t xml:space="preserve">:E</w:t>
      </w:r>
      <w:r>
        <w:rPr>
          <w:vertAlign w:val="subscript"/>
        </w:rPr>
        <w:t xml:space="preserve">3</w:t>
      </w:r>
      <w:r>
        <w:t xml:space="preserve">, the relationship between the two largely agreed with results for SAC</w:t>
      </w:r>
      <w:r>
        <w:rPr>
          <w:vertAlign w:val="subscript"/>
        </w:rPr>
        <w:t xml:space="preserve">254</w:t>
      </w:r>
      <w:r>
        <w:t xml:space="preserve">.</w:t>
      </w:r>
    </w:p>
    <w:p>
      <w:pPr>
        <w:pStyle w:val="BodyText"/>
      </w:pPr>
      <w:r>
        <w:t xml:space="preserve"> </w:t>
      </w:r>
    </w:p>
    <w:p>
      <w:pPr>
        <w:pStyle w:val="CaptionedFigure"/>
      </w:pPr>
      <w:r>
        <w:drawing>
          <wp:inline>
            <wp:extent cx="3669832" cy="5504749"/>
            <wp:effectExtent b="0" l="0" r="0" t="0"/>
            <wp:docPr descr="Figure 20:  Sub-basin mean slop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slope.png" id="0" name="Picture"/>
                    <pic:cNvPicPr>
                      <a:picLocks noChangeArrowheads="1" noChangeAspect="1"/>
                    </pic:cNvPicPr>
                  </pic:nvPicPr>
                  <pic:blipFill>
                    <a:blip r:embed="rId111"/>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Sub-basin mean slope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2" w:name="parent-material-metamorphic-wark-gneiss"/>
      <w:r>
        <w:t xml:space="preserve">Parent material (metamorphic wark gneiss)</w:t>
      </w:r>
      <w:bookmarkEnd w:id="112"/>
    </w:p>
    <w:p>
      <w:pPr>
        <w:pStyle w:val="FirstParagraph"/>
      </w:pPr>
      <w:r>
        <w:t xml:space="preserve">The percent of wark gneiss underlying each sub-basin was ranked as the second most important watershed characteristic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Wark gneiss was inversely correlated (-0.92) to the metasedimentary Leech River Formation.</w:t>
      </w:r>
    </w:p>
    <w:p>
      <w:pPr>
        <w:pStyle w:val="BodyText"/>
      </w:pPr>
      <w:r>
        <w:t xml:space="preserve"> </w:t>
      </w:r>
    </w:p>
    <w:p>
      <w:pPr>
        <w:pStyle w:val="BodyText"/>
      </w:pPr>
      <w:r>
        <w:t xml:space="preserve">For the five sites that were underlain by some proportion of wark gneiss, stream DOC concentrations decreased with increasing percentage of this metamorphic surficial deposit. While more metamorphic material corresponded to lower DOC, the absence of wark gneiss in West Leech sub-basin did not correspond to the highest DOC concentration (Figure</w:t>
      </w:r>
      <w:r>
        <w:t xml:space="preserve"> </w:t>
      </w:r>
      <w:r>
        <w:t xml:space="preserve">21</w:t>
      </w:r>
      <w:r>
        <w:t xml:space="preserve">). NOM character had a similar pattern to concentration, where greater metamorphic parent material corresponded to lower NOM aromaticity and reactivity (SAC</w:t>
      </w:r>
      <w:r>
        <w:rPr>
          <w:vertAlign w:val="subscript"/>
        </w:rPr>
        <w:t xml:space="preserve">254</w:t>
      </w:r>
      <w:r>
        <w:t xml:space="preserve">), but its absence did not correspond to the sub-basin with the lowest SAC</w:t>
      </w:r>
      <w:r>
        <w:rPr>
          <w:vertAlign w:val="subscript"/>
        </w:rPr>
        <w:t xml:space="preserve">254</w:t>
      </w:r>
      <w:r>
        <w:t xml:space="preserve"> </w:t>
      </w:r>
      <w:r>
        <w:t xml:space="preserve">(Figure</w:t>
      </w:r>
      <w:r>
        <w:t xml:space="preserve"> </w:t>
      </w:r>
      <w:r>
        <w:t xml:space="preserve">21</w:t>
      </w:r>
      <w:r>
        <w:t xml:space="preserve">). E</w:t>
      </w:r>
      <w:r>
        <w:rPr>
          <w:vertAlign w:val="subscript"/>
        </w:rPr>
        <w:t xml:space="preserve">2</w:t>
      </w:r>
      <w:r>
        <w:t xml:space="preserve">:E</w:t>
      </w:r>
      <w:r>
        <w:rPr>
          <w:vertAlign w:val="subscript"/>
        </w:rPr>
        <w:t xml:space="preserve">3</w:t>
      </w:r>
      <w:r>
        <w:t xml:space="preserve"> </w:t>
      </w:r>
      <w:r>
        <w:t xml:space="preserve">showed that greater metamorphic parent material corresponded to lower NOM aromaticity and molecular weight (higher E</w:t>
      </w:r>
      <w:r>
        <w:rPr>
          <w:vertAlign w:val="subscript"/>
        </w:rPr>
        <w:t xml:space="preserve">2</w:t>
      </w:r>
      <w:r>
        <w:t xml:space="preserve">:E</w:t>
      </w:r>
      <w:r>
        <w:rPr>
          <w:vertAlign w:val="subscript"/>
        </w:rPr>
        <w:t xml:space="preserve">3</w:t>
      </w:r>
      <w:r>
        <w:t xml:space="preserve"> </w:t>
      </w:r>
      <w:r>
        <w:t xml:space="preserve">values) and, in contrast to DOC and SAC</w:t>
      </w:r>
      <w:r>
        <w:rPr>
          <w:vertAlign w:val="subscript"/>
        </w:rPr>
        <w:t xml:space="preserve">254</w:t>
      </w:r>
      <w:r>
        <w:t xml:space="preserve">, the sub-basin with the greatest molecular weight NOM (lowest mean E</w:t>
      </w:r>
      <w:r>
        <w:rPr>
          <w:vertAlign w:val="subscript"/>
        </w:rPr>
        <w:t xml:space="preserve">2</w:t>
      </w:r>
      <w:r>
        <w:t xml:space="preserve">:E</w:t>
      </w:r>
      <w:r>
        <w:rPr>
          <w:vertAlign w:val="subscript"/>
        </w:rPr>
        <w:t xml:space="preserve">3</w:t>
      </w:r>
      <w:r>
        <w:t xml:space="preserve">) did correspond with the absence of wark gneiss (Figure</w:t>
      </w:r>
      <w:r>
        <w:t xml:space="preserve"> </w:t>
      </w:r>
      <w:r>
        <w:t xml:space="preserve">21</w:t>
      </w:r>
      <w:r>
        <w:t xml:space="preserve">).</w:t>
      </w:r>
    </w:p>
    <w:p>
      <w:pPr>
        <w:pStyle w:val="BodyText"/>
      </w:pPr>
      <w:r>
        <w:t xml:space="preserve"> </w:t>
      </w:r>
    </w:p>
    <w:p>
      <w:pPr>
        <w:pStyle w:val="CaptionedFigure"/>
      </w:pPr>
      <w:r>
        <w:drawing>
          <wp:inline>
            <wp:extent cx="3669832" cy="5504749"/>
            <wp:effectExtent b="0" l="0" r="0" t="0"/>
            <wp:docPr descr="Figure 21:  Percent of each sub-basin underlain by wark gneiss (metamorphic parent material)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metamorphic.png" id="0" name="Picture"/>
                    <pic:cNvPicPr>
                      <a:picLocks noChangeArrowheads="1" noChangeAspect="1"/>
                    </pic:cNvPicPr>
                  </pic:nvPicPr>
                  <pic:blipFill>
                    <a:blip r:embed="rId113"/>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Percent of each sub-basin underlain by wark gneiss (metamorphic parent material)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4" w:name="logging-history-and-mean-tree-age"/>
      <w:r>
        <w:t xml:space="preserve">Logging history and mean tree age</w:t>
      </w:r>
      <w:bookmarkEnd w:id="114"/>
    </w:p>
    <w:p>
      <w:pPr>
        <w:pStyle w:val="FirstParagraph"/>
      </w:pPr>
      <w:r>
        <w:t xml:space="preserve">Logging history (percent of basin harvested from 1980-2011) was ranked first among watershed characteristics for predicting E</w:t>
      </w:r>
      <w:r>
        <w:rPr>
          <w:vertAlign w:val="subscript"/>
        </w:rPr>
        <w:t xml:space="preserve">2</w:t>
      </w:r>
      <w:r>
        <w:t xml:space="preserve">:E</w:t>
      </w:r>
      <w:r>
        <w:rPr>
          <w:vertAlign w:val="subscript"/>
        </w:rPr>
        <w:t xml:space="preserve">3</w:t>
      </w:r>
      <w:r>
        <w:t xml:space="preserve"> </w:t>
      </w:r>
      <w:r>
        <w:t xml:space="preserve">and third for predicting SAC</w:t>
      </w:r>
      <w:r>
        <w:rPr>
          <w:vertAlign w:val="subscript"/>
        </w:rPr>
        <w:t xml:space="preserve">254</w:t>
      </w:r>
      <w:r>
        <w:t xml:space="preserve">. Average tree age was third in variable importance for predicting E</w:t>
      </w:r>
      <w:r>
        <w:rPr>
          <w:vertAlign w:val="subscript"/>
        </w:rPr>
        <w:t xml:space="preserve">2</w:t>
      </w:r>
      <w:r>
        <w:t xml:space="preserve">:E</w:t>
      </w:r>
      <w:r>
        <w:rPr>
          <w:vertAlign w:val="subscript"/>
        </w:rPr>
        <w:t xml:space="preserve">3</w:t>
      </w:r>
      <w:r>
        <w:t xml:space="preserve"> </w:t>
      </w:r>
      <w:r>
        <w:t xml:space="preserve">and DOC. Tree age and logging history were examined together because average tree age was partially due to the history of forest harvest.</w:t>
      </w:r>
    </w:p>
    <w:p>
      <w:pPr>
        <w:pStyle w:val="BodyText"/>
      </w:pPr>
      <w:r>
        <w:t xml:space="preserve"> </w:t>
      </w:r>
    </w:p>
    <w:p>
      <w:pPr>
        <w:pStyle w:val="BodyText"/>
      </w:pPr>
      <w:r>
        <w:t xml:space="preserve">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Leech Tunnel, and Cragg crk sub-basins showed decreasing NOM molecular weight and aromaticity (increasing E</w:t>
      </w:r>
      <w:r>
        <w:rPr>
          <w:vertAlign w:val="subscript"/>
        </w:rPr>
        <w:t xml:space="preserve">2</w:t>
      </w:r>
      <w:r>
        <w:t xml:space="preserve">:E</w:t>
      </w:r>
      <w:r>
        <w:rPr>
          <w:vertAlign w:val="subscript"/>
        </w:rPr>
        <w:t xml:space="preserve">3</w:t>
      </w:r>
      <w:r>
        <w:t xml:space="preserve">) with increasing area harvested. However, the sub-basins of Chris crk and Leech-head (just downstream) had higher harvested area (ergo younger trees) and did not match this pattern of less aromatic, lower molecular weight NOM with greater harvest history (Figure</w:t>
      </w:r>
      <w:r>
        <w:t xml:space="preserve"> </w:t>
      </w:r>
      <w:r>
        <w:t xml:space="preserve">22</w:t>
      </w:r>
      <w:r>
        <w:t xml:space="preserve">). The sites with more aromatic and higher molecular weight NOM were not clearly linked to average tree age (Figure</w:t>
      </w:r>
      <w:r>
        <w:t xml:space="preserve"> </w:t>
      </w:r>
      <w:r>
        <w:t xml:space="preserve">22</w:t>
      </w:r>
      <w:r>
        <w:t xml:space="preserve">).</w:t>
      </w:r>
    </w:p>
    <w:p>
      <w:pPr>
        <w:pStyle w:val="BodyText"/>
      </w:pPr>
      <w:r>
        <w:t xml:space="preserve"> </w:t>
      </w:r>
    </w:p>
    <w:p>
      <w:pPr>
        <w:pStyle w:val="BodyText"/>
      </w:pPr>
      <w:r>
        <w:t xml:space="preserve">Chris crk and Cragg crk sub-basins had the youngest and oldest trees, respectively; yet, these two sites had very similar averages for NOM concentration and character, though Chris crk had slightly higher molecular weight NOM. While Cragg crk sub-basin had, on average, the oldest trees (likely due to old growth maintained on Horton Ridge), it was West Leech that was the least-harvested sub-basin of the six monitoring sites. Cragg crk and West Leech had similar mean DOC and SAC</w:t>
      </w:r>
      <w:r>
        <w:rPr>
          <w:vertAlign w:val="subscript"/>
        </w:rPr>
        <w:t xml:space="preserve">254</w:t>
      </w:r>
      <w:r>
        <w:t xml:space="preserve"> </w:t>
      </w:r>
      <w:r>
        <w:t xml:space="preserve">values but mean E</w:t>
      </w:r>
      <w:r>
        <w:rPr>
          <w:vertAlign w:val="subscript"/>
        </w:rPr>
        <w:t xml:space="preserve">2</w:t>
      </w:r>
      <w:r>
        <w:t xml:space="preserve">:E</w:t>
      </w:r>
      <w:r>
        <w:rPr>
          <w:vertAlign w:val="subscript"/>
        </w:rPr>
        <w:t xml:space="preserve">3</w:t>
      </w:r>
      <w:r>
        <w:t xml:space="preserve"> </w:t>
      </w:r>
      <w:r>
        <w:t xml:space="preserve">was different (</w:t>
      </w:r>
      <w:r>
        <w:rPr>
          <w:i/>
          <w:b/>
        </w:rPr>
        <w:t xml:space="preserve">statistically??</w:t>
      </w:r>
      <w:r>
        <w:t xml:space="preserve">); Cragg crk had greater molecular weight NOM than West Leech (but their error bars overlapped entirely). It is possible that the GIS data for forest harvest and tree age were missing some details.</w:t>
      </w:r>
    </w:p>
    <w:p>
      <w:pPr>
        <w:pStyle w:val="BodyText"/>
      </w:pPr>
      <w:r>
        <w:t xml:space="preserve"> </w:t>
      </w:r>
    </w:p>
    <w:p>
      <w:pPr>
        <w:pStyle w:val="CaptionedFigure"/>
      </w:pPr>
      <w:r>
        <w:drawing>
          <wp:inline>
            <wp:extent cx="5943600" cy="5486399"/>
            <wp:effectExtent b="0" l="0" r="0" t="0"/>
            <wp:docPr descr="Figure 22:  Sub-basin mean tree ag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logging-tree-age.png" id="0" name="Picture"/>
                    <pic:cNvPicPr>
                      <a:picLocks noChangeArrowheads="1" noChangeAspect="1"/>
                    </pic:cNvPicPr>
                  </pic:nvPicPr>
                  <pic:blipFill>
                    <a:blip r:embed="rId115"/>
                    <a:stretch>
                      <a:fillRect/>
                    </a:stretch>
                  </pic:blipFill>
                  <pic:spPr bwMode="auto">
                    <a:xfrm>
                      <a:off x="0" y="0"/>
                      <a:ext cx="5943600" cy="5486399"/>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Sub-basin mean tree 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5"/>
      </w:pPr>
      <w:bookmarkStart w:id="116" w:name="variable-importance-summary"/>
      <w:r>
        <w:t xml:space="preserve">Variable importance Summary</w:t>
      </w:r>
      <w:bookmarkEnd w:id="116"/>
    </w:p>
    <w:p>
      <w:pPr>
        <w:pStyle w:val="FirstParagraph"/>
      </w:pPr>
      <w:r>
        <w:t xml:space="preserve">Of the watershed characteristics examined, the percent of each basin with metamorphic wark gneiss parent material appeared to be the most relevant and was a common predictor variable to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The absence of wark gneiss was not related to the site with highest DOC, despite DOC decreasing with increasing metamorphic representation. Because subsurface materials were largely cross-correlated, the observed patterns with wark gneiss may point to more nuanced relationships that couldn’t be teased out in this RF analysis because of cross-correlations with other predictor variables. It could be that what is observed as a negative relationship with wark gneiss is a positive relationship between NOM and another parent material, probably the schist-like Leech River Formation.</w:t>
      </w:r>
    </w:p>
    <w:p>
      <w:pPr>
        <w:pStyle w:val="BodyText"/>
      </w:pPr>
      <w:r>
        <w:t xml:space="preserve"> </w:t>
      </w:r>
    </w:p>
    <w:p>
      <w:pPr>
        <w:pStyle w:val="BodyText"/>
      </w:pPr>
      <w:r>
        <w:t xml:space="preserve">Across the Leech WSA, warm and wet conditions were an important driver for NOM concentration and character. Antecedent rain was positively related to DOC concentrations and sample aromaticity up to a threshold of approximately 150 mm of 30-day antecedent rain, at which point NOM concentration and aromaticity/reactivity/molecular weight declined with increasing wetness. This suggested a threshold at which dilution overtook NOM transport. In a similar way, NOM aromaticity increased with sampling stage up to approximately 60-75% of maximum stage at each site.</w:t>
      </w:r>
    </w:p>
    <w:p>
      <w:pPr>
        <w:pStyle w:val="BodyText"/>
      </w:pPr>
      <w:r>
        <w:t xml:space="preserve"> </w:t>
      </w:r>
    </w:p>
    <w:p>
      <w:pPr>
        <w:pStyle w:val="Heading4"/>
      </w:pPr>
      <w:bookmarkStart w:id="117" w:name="X8a5360c2131915aff3d568048020d54c1b1f742"/>
      <w:r>
        <w:t xml:space="preserve">Warm and wet: seasonal patterns and rain events</w:t>
      </w:r>
      <w:bookmarkEnd w:id="117"/>
    </w:p>
    <w:p>
      <w:pPr>
        <w:pStyle w:val="FirstParagraph"/>
      </w:pPr>
      <w:r>
        <w:t xml:space="preserve">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w:t>
      </w:r>
    </w:p>
    <w:p>
      <w:pPr>
        <w:pStyle w:val="BodyText"/>
      </w:pPr>
      <w:r>
        <w:t xml:space="preserve"> </w:t>
      </w:r>
    </w:p>
    <w:p>
      <w:pPr>
        <w:pStyle w:val="BodyText"/>
      </w:pPr>
      <w:r>
        <w:t xml:space="preserve">During the dry-season,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Weeks crk had greater aromaticity compared to the other sites.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23</w:t>
      </w:r>
      <w:r>
        <w:t xml:space="preserve">). SAC</w:t>
      </w:r>
      <w:r>
        <w:rPr>
          <w:vertAlign w:val="subscript"/>
        </w:rPr>
        <w:t xml:space="preserve">254</w:t>
      </w:r>
      <w:r>
        <w:t xml:space="preserve"> </w:t>
      </w:r>
      <w:r>
        <w:t xml:space="preserve">showed a similar increase in aromatic character from headwaters to mouth during the dry season, albeit the pattern was less pronounced and there was a larger difference between Chris 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These results show that dry season aqueous NOM increased in aromaticity from upstream to downstream sites.</w:t>
      </w:r>
    </w:p>
    <w:p>
      <w:pPr>
        <w:pStyle w:val="BodyText"/>
      </w:pPr>
      <w:r>
        <w:t xml:space="preserve"> </w:t>
      </w:r>
    </w:p>
    <w:p>
      <w:pPr>
        <w:pStyle w:val="BodyText"/>
      </w:pPr>
      <w:r>
        <w:t xml:space="preserve">The dry season pattern of decreasing DOC from low- to high-order streams was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downstream,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differences support a shift in NOM source material, and/or a shift from NOM processing in the dry season and transport/dilution effects in the wet season.</w:t>
      </w:r>
    </w:p>
    <w:p>
      <w:pPr>
        <w:pStyle w:val="BodyText"/>
      </w:pPr>
      <w:r>
        <w:t xml:space="preserve"> </w:t>
      </w:r>
    </w:p>
    <w:p>
      <w:pPr>
        <w:pStyle w:val="CaptionedFigure"/>
      </w:pPr>
      <w:r>
        <w:drawing>
          <wp:inline>
            <wp:extent cx="5504749" cy="5504749"/>
            <wp:effectExtent b="0" l="0" r="0" t="0"/>
            <wp:docPr descr="Figure 23: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118"/>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Sample results over the dry and wet seasons for [A] dissolved organic carbon concentrations (DOC), [B] specific absorbance coefficient at 254 nm (SAC</w:t>
      </w:r>
      <w:r>
        <w:rPr>
          <w:vertAlign w:val="subscript"/>
        </w:rPr>
        <w:t xml:space="preserve">254</w:t>
      </w:r>
      <w:r>
        <w:t xml:space="preserve">, m</w:t>
      </w:r>
      <w:r>
        <w:rPr>
          <w:vertAlign w:val="superscript"/>
        </w:rPr>
        <w:t xml:space="preserve">-1</w:t>
      </w:r>
      <w:r>
        <w:t xml:space="preserve">), and [C]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Note that each season has a different y-scale to clarify patterns. The inset in panel B is an enlargement of SAC</w:t>
      </w:r>
      <w:r>
        <w:rPr>
          <w:vertAlign w:val="subscript"/>
        </w:rPr>
        <w:t xml:space="preserve">254</w:t>
      </w:r>
      <w:r>
        <w:t xml:space="preserve"> </w:t>
      </w:r>
      <w:r>
        <w:t xml:space="preserve">for all sites except Weeks crk.</w:t>
      </w:r>
    </w:p>
    <w:p>
      <w:pPr>
        <w:pStyle w:val="BodyText"/>
      </w:pPr>
      <w:r>
        <w:t xml:space="preserve"> </w:t>
      </w:r>
    </w:p>
    <w:p>
      <w:pPr>
        <w:pStyle w:val="Heading5"/>
      </w:pPr>
      <w:bookmarkStart w:id="119" w:name="rising-stage-and-aqueous-nom-dynamics"/>
      <w:r>
        <w:t xml:space="preserve">Rising stage and aqueous NOM dynamics</w:t>
      </w:r>
      <w:bookmarkEnd w:id="119"/>
    </w:p>
    <w:p>
      <w:pPr>
        <w:pStyle w:val="FirstParagraph"/>
      </w:pPr>
      <w:r>
        <w:t xml:space="preserve">Antecedent moisture and/or sampling stage was important for each of the three predictant variables evaluated though RF VIM. Across the Leech WSA, the highest DOC occurred in the earliest events of each wet season (events 1 &amp; 9, Table</w:t>
      </w:r>
      <w:r>
        <w:t xml:space="preserve"> </w:t>
      </w:r>
      <w:r>
        <w:t xml:space="preserve">15</w:t>
      </w:r>
      <w:r>
        <w:t xml:space="preserve">), while SAC</w:t>
      </w:r>
      <w:r>
        <w:rPr>
          <w:vertAlign w:val="subscript"/>
        </w:rPr>
        <w:t xml:space="preserve">254</w:t>
      </w:r>
      <w:r>
        <w:t xml:space="preserve"> </w:t>
      </w:r>
      <w:r>
        <w:t xml:space="preserve">peaked later than DOC during the third major event in the 2019/2020 wet season (event 11, Table</w:t>
      </w:r>
      <w:r>
        <w:t xml:space="preserve"> </w:t>
      </w:r>
      <w:r>
        <w:t xml:space="preserve">15</w:t>
      </w:r>
      <w:r>
        <w:t xml:space="preserve">). E</w:t>
      </w:r>
      <w:r>
        <w:rPr>
          <w:vertAlign w:val="subscript"/>
        </w:rPr>
        <w:t xml:space="preserve">2</w:t>
      </w:r>
      <w:r>
        <w:t xml:space="preserve">:E</w:t>
      </w:r>
      <w:r>
        <w:rPr>
          <w:vertAlign w:val="subscript"/>
        </w:rPr>
        <w:t xml:space="preserve">3</w:t>
      </w:r>
      <w:r>
        <w:t xml:space="preserve"> </w:t>
      </w:r>
      <w:r>
        <w:t xml:space="preserve">indicated maximum aromaticity and molecular size occurred during the last major events, at the end of each wet season (events 3 &amp; 17, Table</w:t>
      </w:r>
      <w:r>
        <w:t xml:space="preserve"> </w:t>
      </w:r>
      <w:r>
        <w:t xml:space="preserve">15</w:t>
      </w:r>
      <w:r>
        <w:t xml:space="preserve">).</w:t>
      </w:r>
    </w:p>
    <w:p>
      <w:pPr>
        <w:pStyle w:val="BodyText"/>
      </w:pPr>
      <w:r>
        <w:t xml:space="preserve"> </w:t>
      </w:r>
    </w:p>
    <w:p>
      <w:pPr>
        <w:pStyle w:val="TableCaption"/>
      </w:pPr>
      <w:r>
        <w:t xml:space="preserve">Table 15: Rain Events (Threshold of 50 mm and 14-hour Inter-event Period) Defined by Vertical Rack Sample Collection Across the Six monitoring Sites of the Leech WSA</w:t>
      </w:r>
    </w:p>
    <w:tbl>
      <w:tblPr>
        <w:tblStyle w:val="Table"/>
        <w:tblW w:type="pct" w:w="0.0"/>
        <w:tblLook w:firstRow="1"/>
        <w:tblCaption w:val="Table 15: Rain Events (Threshold of 50 mm and 14-hour Inter-event Period) Defined by Vertical Rack Sample Collection Across the Six monitoring Sites of the Leech WSA"/>
      </w:tblPr>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70.5</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magnitudes of stage change (Table</w:t>
      </w:r>
      <w:r>
        <w:t xml:space="preserve"> </w:t>
      </w:r>
      <w:r>
        <w:t xml:space="preserve">16</w:t>
      </w:r>
      <w:r>
        <w:t xml:space="preserve">). As expected, rate of change in stage was greatest at the highest order stream, the Tunnel site, and smallest at Weeks crk.</w:t>
      </w:r>
    </w:p>
    <w:p>
      <w:pPr>
        <w:pStyle w:val="BodyText"/>
      </w:pPr>
      <w:r>
        <w:t xml:space="preserve"> </w:t>
      </w:r>
    </w:p>
    <w:p>
      <w:pPr>
        <w:pStyle w:val="TableCaption"/>
      </w:pPr>
      <w:r>
        <w:t xml:space="preserve">Table 16: Summary of Stream Response to Rain Events Across Six Monitoring sites in the Leech Water Supply Area.</w:t>
      </w:r>
    </w:p>
    <w:tbl>
      <w:tblPr>
        <w:tblStyle w:val="Table"/>
        <w:tblW w:type="pct" w:w="0.0"/>
        <w:tblLook w:firstRow="1"/>
        <w:tblCaption w:val="Table 16: Summary of Stream Response to Rain Events Across Six Monitoring sites in the Leech Water Supply Area."/>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if a similar harmony was present for fluctuations in DOC or spectral properties, the proportion of common DOC and stage extrema samples were calculated (Table</w:t>
      </w:r>
      <w:r>
        <w:t xml:space="preserve"> </w:t>
      </w:r>
      <w:r>
        <w:t xml:space="preserve">17</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17: Proportion of Samples for Which Peak Dissolved Organic Carbon (DOC) was Collected at the Highest Sample Stage.</w:t>
      </w:r>
    </w:p>
    <w:tbl>
      <w:tblPr>
        <w:tblStyle w:val="Table"/>
        <w:tblW w:type="pct" w:w="0.0"/>
        <w:tblLook w:firstRow="1"/>
        <w:tblCaption w:val="Table 17: Proportion of Samples for Which Peak Dissolved Organic Carbon (DOC)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0.5882</w:t>
            </w:r>
          </w:p>
        </w:tc>
        <w:tc>
          <w:p>
            <w:pPr>
              <w:pStyle w:val="Compact"/>
              <w:jc w:val="right"/>
            </w:pPr>
            <w:r>
              <w:t xml:space="preserve">0.6471</w:t>
            </w:r>
          </w:p>
        </w:tc>
      </w:tr>
      <w:tr>
        <w:tc>
          <w:p>
            <w:pPr>
              <w:pStyle w:val="Compact"/>
              <w:jc w:val="left"/>
            </w:pPr>
            <w:r>
              <w:t xml:space="preserve">ChrisCrk</w:t>
            </w:r>
          </w:p>
        </w:tc>
        <w:tc>
          <w:p>
            <w:pPr>
              <w:pStyle w:val="Compact"/>
              <w:jc w:val="right"/>
            </w:pPr>
            <w:r>
              <w:t xml:space="preserve">0.8000</w:t>
            </w:r>
          </w:p>
        </w:tc>
        <w:tc>
          <w:p>
            <w:pPr>
              <w:pStyle w:val="Compact"/>
              <w:jc w:val="right"/>
            </w:pPr>
            <w:r>
              <w:t xml:space="preserve">0.8000</w:t>
            </w:r>
          </w:p>
        </w:tc>
      </w:tr>
      <w:tr>
        <w:tc>
          <w:p>
            <w:pPr>
              <w:pStyle w:val="Compact"/>
              <w:jc w:val="left"/>
            </w:pPr>
            <w:r>
              <w:t xml:space="preserve">LeechHead</w:t>
            </w:r>
          </w:p>
        </w:tc>
        <w:tc>
          <w:p>
            <w:pPr>
              <w:pStyle w:val="Compact"/>
              <w:jc w:val="right"/>
            </w:pPr>
            <w:r>
              <w:t xml:space="preserve">0.8889</w:t>
            </w:r>
          </w:p>
        </w:tc>
        <w:tc>
          <w:p>
            <w:pPr>
              <w:pStyle w:val="Compact"/>
              <w:jc w:val="right"/>
            </w:pPr>
            <w:r>
              <w:t xml:space="preserve">0.8889</w:t>
            </w:r>
          </w:p>
        </w:tc>
      </w:tr>
      <w:tr>
        <w:tc>
          <w:p>
            <w:pPr>
              <w:pStyle w:val="Compact"/>
              <w:jc w:val="left"/>
            </w:pPr>
            <w:r>
              <w:t xml:space="preserve">CraggCrk</w:t>
            </w:r>
          </w:p>
        </w:tc>
        <w:tc>
          <w:p>
            <w:pPr>
              <w:pStyle w:val="Compact"/>
              <w:jc w:val="right"/>
            </w:pPr>
            <w:r>
              <w:t xml:space="preserve">0.8000</w:t>
            </w:r>
          </w:p>
        </w:tc>
        <w:tc>
          <w:p>
            <w:pPr>
              <w:pStyle w:val="Compact"/>
              <w:jc w:val="right"/>
            </w:pPr>
            <w:r>
              <w:t xml:space="preserve">0.9000</w:t>
            </w:r>
          </w:p>
        </w:tc>
      </w:tr>
      <w:tr>
        <w:tc>
          <w:p>
            <w:pPr>
              <w:pStyle w:val="Compact"/>
              <w:jc w:val="left"/>
            </w:pPr>
            <w:r>
              <w:t xml:space="preserve">WestLeech</w:t>
            </w:r>
          </w:p>
        </w:tc>
        <w:tc>
          <w:p>
            <w:pPr>
              <w:pStyle w:val="Compact"/>
              <w:jc w:val="right"/>
            </w:pPr>
            <w:r>
              <w:t xml:space="preserve">0.8636</w:t>
            </w:r>
          </w:p>
        </w:tc>
        <w:tc>
          <w:p>
            <w:pPr>
              <w:pStyle w:val="Compact"/>
              <w:jc w:val="right"/>
            </w:pPr>
            <w:r>
              <w:t xml:space="preserve">0.7727</w:t>
            </w:r>
          </w:p>
        </w:tc>
      </w:tr>
      <w:tr>
        <w:tc>
          <w:p>
            <w:pPr>
              <w:pStyle w:val="Compact"/>
              <w:jc w:val="left"/>
            </w:pPr>
            <w:r>
              <w:t xml:space="preserve">Tunnel</w:t>
            </w:r>
          </w:p>
        </w:tc>
        <w:tc>
          <w:p>
            <w:pPr>
              <w:pStyle w:val="Compact"/>
              <w:jc w:val="right"/>
            </w:pPr>
            <w:r>
              <w:t xml:space="preserve">0.7647</w:t>
            </w:r>
          </w:p>
        </w:tc>
        <w:tc>
          <w:p>
            <w:pPr>
              <w:pStyle w:val="Compact"/>
              <w:jc w:val="right"/>
            </w:pPr>
            <w:r>
              <w:t xml:space="preserve">0.9412</w:t>
            </w:r>
          </w:p>
        </w:tc>
      </w:tr>
      <w:tr>
        <w:tc>
          <w:p>
            <w:pPr>
              <w:pStyle w:val="Compact"/>
              <w:jc w:val="left"/>
            </w:pPr>
            <w:r>
              <w:t xml:space="preserve">all sites</w:t>
            </w:r>
          </w:p>
        </w:tc>
        <w:tc>
          <w:p>
            <w:pPr>
              <w:pStyle w:val="Compact"/>
              <w:jc w:val="right"/>
            </w:pPr>
            <w:r>
              <w:t xml:space="preserve">0.7895</w:t>
            </w:r>
          </w:p>
        </w:tc>
        <w:tc>
          <w:p>
            <w:pPr>
              <w:pStyle w:val="Compact"/>
              <w:jc w:val="right"/>
            </w:pPr>
            <w:r>
              <w:t xml:space="preserve">0.8246</w:t>
            </w:r>
          </w:p>
        </w:tc>
      </w:tr>
    </w:tbl>
    <w:p>
      <w:pPr>
        <w:pStyle w:val="BodyText"/>
      </w:pPr>
      <w:r>
        <w:t xml:space="preserve"> </w:t>
      </w:r>
    </w:p>
    <w:p>
      <w:pPr>
        <w:pStyle w:val="BodyText"/>
      </w:pPr>
      <w:r>
        <w:t xml:space="preserve">Four of the six site’s samples showed majority, but not absolute, agreement in extremes of DOC-stage relationships; Chris crk and Leech-head each had the same proportion of common maxima and minima. In general DOC concentrations were lowest at the beginning of events and increased with a rise in stage (Figure</w:t>
      </w:r>
      <w:r>
        <w:t xml:space="preserve"> </w:t>
      </w:r>
      <w:r>
        <w:t xml:space="preserve">24</w:t>
      </w:r>
      <w:r>
        <w:t xml:space="preserve">). Early in the wet season, peak stage was more associated with minimum DOC, and later in the wet season peak stage was more associated with peak DOC. These results suggest dilution of NOM early in the wet season, and enrichment later in the wet season.</w:t>
      </w:r>
    </w:p>
    <w:p>
      <w:pPr>
        <w:pStyle w:val="BodyText"/>
      </w:pPr>
      <w:r>
        <w:t xml:space="preserve"> </w:t>
      </w:r>
    </w:p>
    <w:p>
      <w:pPr>
        <w:pStyle w:val="CaptionedFigure"/>
      </w:pPr>
      <w:r>
        <w:drawing>
          <wp:inline>
            <wp:extent cx="5943600" cy="6339839"/>
            <wp:effectExtent b="0" l="0" r="0" t="0"/>
            <wp:docPr descr="Figure 24: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20"/>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For events where several samples were collected, the change in DOC concentration varied from a little more than 1% to nearly 100% (Table</w:t>
      </w:r>
      <w:r>
        <w:t xml:space="preserve"> </w:t>
      </w:r>
      <w:r>
        <w:t xml:space="preserve">18</w:t>
      </w:r>
      <w:r>
        <w:t xml:space="preserve">). The smallest event-based concentration change occurred at Leech head (1.2%) and the Tunnel (1.4%). The largest event-based change in concentration was observed at West Leech (94.6%), and the second largest change occurred at Chris crk (82% change in DOC).</w:t>
      </w:r>
    </w:p>
    <w:p>
      <w:pPr>
        <w:pStyle w:val="BodyText"/>
      </w:pPr>
      <w:r>
        <w:t xml:space="preserve"> </w:t>
      </w:r>
    </w:p>
    <w:p>
      <w:pPr>
        <w:pStyle w:val="TableCaption"/>
      </w:pPr>
      <w:r>
        <w:t xml:space="preserve">Table 18: Summary of DOC Changes Within Stormflow Response to Precipitation Events Across the Leech WSA (Samples from Wet Season Only).</w:t>
      </w:r>
    </w:p>
    <w:tbl>
      <w:tblPr>
        <w:tblStyle w:val="Table"/>
        <w:tblW w:type="pct" w:w="0.0"/>
        <w:tblLook w:firstRow="1"/>
        <w:tblCaption w:val="Table 18: Summary of DOC Changes Within Stormflow Response to Precipitation Events Across the Leech WSA (Samples from Wet Season Only)."/>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t xml:space="preserve"> </w:t>
      </w:r>
    </w:p>
    <w:p>
      <w:pPr>
        <w:pStyle w:val="BodyText"/>
      </w:pPr>
      <w:r>
        <w:t xml:space="preserve">At the Tunnel, Cragg crk and Chris crk, NOM concentration and aromaticity generally increased with stage; while at West Leech, aromaticity was inversely related to stage. Weeks crk maintained the most consistent NOM aromaticity and molecular weight (E</w:t>
      </w:r>
      <w:r>
        <w:rPr>
          <w:vertAlign w:val="subscript"/>
        </w:rPr>
        <w:t xml:space="preserve">2</w:t>
      </w:r>
      <w:r>
        <w:t xml:space="preserve">:E</w:t>
      </w:r>
      <w:r>
        <w:rPr>
          <w:vertAlign w:val="subscript"/>
        </w:rPr>
        <w:t xml:space="preserve">3</w:t>
      </w:r>
      <w:r>
        <w:t xml:space="preserve">) with changing stage (Figure</w:t>
      </w:r>
      <w:r>
        <w:t xml:space="preserve"> </w:t>
      </w:r>
      <w:r>
        <w:t xml:space="preserve">25</w:t>
      </w:r>
      <w:r>
        <w:t xml:space="preserve">).</w:t>
      </w:r>
    </w:p>
    <w:p>
      <w:pPr>
        <w:pStyle w:val="BodyText"/>
      </w:pPr>
      <w:r>
        <w:t xml:space="preserve"> </w:t>
      </w:r>
    </w:p>
    <w:p>
      <w:pPr>
        <w:pStyle w:val="CaptionedFigure"/>
      </w:pPr>
      <w:r>
        <w:drawing>
          <wp:inline>
            <wp:extent cx="5504749" cy="6880936"/>
            <wp:effectExtent b="0" l="0" r="0" t="0"/>
            <wp:docPr descr="Figure 25:  Relationships between river stage and sample NOM concentrations and character, where connected lines show data density. Data for each variable were normalized (min-max normalization) for comparison of relative scales in each relationship between sites." title="" id="1" name="Picture"/>
            <a:graphic>
              <a:graphicData uri="http://schemas.openxmlformats.org/drawingml/2006/picture">
                <pic:pic>
                  <pic:nvPicPr>
                    <pic:cNvPr descr="R-outputs_UBC-forWater-MSc_HMc/figures/Ch4_StageNorm_DOC-NOM.png" id="0" name="Picture"/>
                    <pic:cNvPicPr>
                      <a:picLocks noChangeArrowheads="1" noChangeAspect="1"/>
                    </pic:cNvPicPr>
                  </pic:nvPicPr>
                  <pic:blipFill>
                    <a:blip r:embed="rId121"/>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Relationships between river stage and sample NOM concentrations and character, where connected lines show data density. Data for each variable were normalized (min-max normalization) for comparison of relative scales in each relationship between sites.</w:t>
      </w:r>
    </w:p>
    <w:p>
      <w:pPr>
        <w:pStyle w:val="BodyText"/>
      </w:pPr>
      <w:r>
        <w:br/>
      </w:r>
    </w:p>
    <w:p>
      <w:pPr>
        <w:pStyle w:val="Heading4"/>
      </w:pPr>
      <w:bookmarkStart w:id="122" w:name="X13c228b9c6713a570794a6e9e994c61f206d14b"/>
      <w:r>
        <w:t xml:space="preserve">Hysteresis of NOM with antecedent wetness</w:t>
      </w:r>
      <w:bookmarkEnd w:id="122"/>
    </w:p>
    <w:p>
      <w:pPr>
        <w:pStyle w:val="FirstParagraph"/>
      </w:pPr>
      <w:r>
        <w:t xml:space="preserve">Events 10 and 11 were relatively well represented by sampling at each of the six sites and were found to be representative of other rain events as well. Wilcoxon tests showed events 10 and 11 were not statistically different from the other sampling events, with the same mean rain durations (p = 0.837), rain amounts (p = 0.732), rain intensity (p = 0.549),</w:t>
      </w:r>
      <w:r>
        <w:t xml:space="preserve"> </w:t>
      </w:r>
      <w:r>
        <w:t xml:space="preserve">DOC (p = 0.512), SAC</w:t>
      </w:r>
      <w:r>
        <w:rPr>
          <w:vertAlign w:val="subscript"/>
        </w:rPr>
        <w:t xml:space="preserve">254</w:t>
      </w:r>
      <w:r>
        <w:t xml:space="preserve"> </w:t>
      </w:r>
      <w:r>
        <w:t xml:space="preserve">(p= 0.218) and E</w:t>
      </w:r>
      <w:r>
        <w:rPr>
          <w:vertAlign w:val="subscript"/>
        </w:rPr>
        <w:t xml:space="preserve">2</w:t>
      </w:r>
      <w:r>
        <w:t xml:space="preserve">:E</w:t>
      </w:r>
      <w:r>
        <w:rPr>
          <w:vertAlign w:val="subscript"/>
        </w:rPr>
        <w:t xml:space="preserve">3</w:t>
      </w:r>
      <w:r>
        <w:t xml:space="preserve"> </w:t>
      </w:r>
      <w:r>
        <w:t xml:space="preserve">(p = 0.148). Samples were collected across the rising limb, near peak-flows, and at least one sample on the falling limb and at low flow (Figure</w:t>
      </w:r>
      <w:r>
        <w:t xml:space="preserve"> </w:t>
      </w:r>
      <w:r>
        <w:t xml:space="preserve">26</w:t>
      </w:r>
      <w:r>
        <w:t xml:space="preserve">).</w:t>
      </w:r>
    </w:p>
    <w:p>
      <w:pPr>
        <w:pStyle w:val="BodyText"/>
      </w:pPr>
      <w:r>
        <w:t xml:space="preserve"> </w:t>
      </w:r>
    </w:p>
    <w:p>
      <w:pPr>
        <w:pStyle w:val="CaptionedFigure"/>
      </w:pPr>
      <w:r>
        <w:drawing>
          <wp:inline>
            <wp:extent cx="5504749" cy="5963478"/>
            <wp:effectExtent b="0" l="0" r="0" t="0"/>
            <wp:docPr descr="Figure 26: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 title="" id="1" name="Picture"/>
            <a:graphic>
              <a:graphicData uri="http://schemas.openxmlformats.org/drawingml/2006/picture">
                <pic:pic>
                  <pic:nvPicPr>
                    <pic:cNvPr descr="R-outputs_UBC-forWater-MSc_HMc/figures/Ch4_sampling-events_10-11.png" id="0" name="Picture"/>
                    <pic:cNvPicPr>
                      <a:picLocks noChangeArrowheads="1" noChangeAspect="1"/>
                    </pic:cNvPicPr>
                  </pic:nvPicPr>
                  <pic:blipFill>
                    <a:blip r:embed="rId123"/>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t xml:space="preserve">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w:t>
      </w:r>
    </w:p>
    <w:p>
      <w:pPr>
        <w:pStyle w:val="BodyText"/>
      </w:pPr>
      <w:r>
        <w:t xml:space="preserve"> </w:t>
      </w:r>
    </w:p>
    <w:p>
      <w:pPr>
        <w:pStyle w:val="BodyText"/>
      </w:pPr>
      <w:r>
        <w:t xml:space="preserve">Sample DOC concentrations from rain events 10 and 11 were plotted with their corresponding antecedent wetness (30-day rain) to explore possible hysteresis (Figure</w:t>
      </w:r>
      <w:r>
        <w:t xml:space="preserve"> </w:t>
      </w:r>
      <w:r>
        <w:t xml:space="preserve">27</w:t>
      </w:r>
      <w:r>
        <w:t xml:space="preserve">). The relationship of DOC to antecedent wetness within a hydrologic event was interpreted in the same manner as a concentration-discharge (C-Q) relationship, where rapid flushing and dilution are indicated by a hysteresis loop with clockwise rotation, and counterclockwise rotation points to delayed material delivery and stream enrichment. Event 10 was the second measured rain event in the 2019/2020 wet season and had twice as much rain fall as event 11 (136 mm in event 10 compared to 68 mm in event 11, Table</w:t>
      </w:r>
      <w:r>
        <w:t xml:space="preserve"> </w:t>
      </w:r>
      <w:r>
        <w:t xml:space="preserve">15</w:t>
      </w:r>
      <w:r>
        <w:t xml:space="preserve">). Event 10 was longer in duration (6.4 days) compared to event 11 (2.3 days) with slightly lower intensity (21 vs 29 mm/24-hr.). Between these two events, mean DOC concentrations were comparable (6.7 mg/L and 6.4 mg/L). There was a clockwise rotation pattern for DOC with antecedent wetness in event 10 and a counterclockwise rotation in event 11 (Figure</w:t>
      </w:r>
      <w:r>
        <w:t xml:space="preserve"> </w:t>
      </w:r>
      <w:r>
        <w:t xml:space="preserve">27</w:t>
      </w:r>
      <w:r>
        <w:t xml:space="preserve">). At the Tunnel, there was a change in loop direction at the end of each event.</w:t>
      </w:r>
    </w:p>
    <w:p>
      <w:pPr>
        <w:pStyle w:val="BodyText"/>
      </w:pPr>
      <w:r>
        <w:t xml:space="preserve"> </w:t>
      </w:r>
    </w:p>
    <w:p>
      <w:pPr>
        <w:pStyle w:val="CaptionedFigure"/>
      </w:pPr>
      <w:r>
        <w:drawing>
          <wp:inline>
            <wp:extent cx="5504749" cy="5504749"/>
            <wp:effectExtent b="0" l="0" r="0" t="0"/>
            <wp:docPr descr="Figure 27:  Dissolved organic carbon (DOC) concentrations plotted with antecedent 30-day rain during events 10 and 11 at six monitoring sites in the Leech watershed." title="" id="1" name="Picture"/>
            <a:graphic>
              <a:graphicData uri="http://schemas.openxmlformats.org/drawingml/2006/picture">
                <pic:pic>
                  <pic:nvPicPr>
                    <pic:cNvPr descr="R-outputs_UBC-forWater-MSc_HMc/figures/Ch4_hysteresis_DOC-wetness.png" id="0" name="Picture"/>
                    <pic:cNvPicPr>
                      <a:picLocks noChangeArrowheads="1" noChangeAspect="1"/>
                    </pic:cNvPicPr>
                  </pic:nvPicPr>
                  <pic:blipFill>
                    <a:blip r:embed="rId12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t xml:space="preserve">Dissolved organic carbon (DOC) concentrations plotted with antecedent 30-day rain during events 10 and 11 at six monitoring sites in the Leech watershed.</w:t>
      </w:r>
    </w:p>
    <w:p>
      <w:pPr>
        <w:pStyle w:val="BodyText"/>
      </w:pPr>
      <w:r>
        <w:t xml:space="preserve"> </w:t>
      </w:r>
    </w:p>
    <w:p>
      <w:pPr>
        <w:pStyle w:val="Heading3"/>
      </w:pPr>
      <w:bookmarkStart w:id="125" w:name="discussion-1"/>
      <w:r>
        <w:t xml:space="preserve">Discussion</w:t>
      </w:r>
      <w:bookmarkEnd w:id="125"/>
    </w:p>
    <w:p>
      <w:pPr>
        <w:pStyle w:val="FirstParagraph"/>
      </w:pPr>
      <w:r>
        <w:t xml:space="preserve">The sampling conditions and watershed characteristics included in Random Forest variable importance measures (RF VIM) showed that across the six monitoring sites in the Leech WSA, stream NOM concentration and character were influenced by warm and wet conditions and the parent material in each basin. No model is perfect, and the relative importance derived from RF VIM in this chapter was limited to the data provided and the assumptions associated with those data. Based on the variables assessed, sampling stage and antecedent wetness ranked among the most important variables for predicting NOM quantity and quality, as did the percent of wark gneiss underlying each basin.</w:t>
      </w:r>
    </w:p>
    <w:p>
      <w:pPr>
        <w:pStyle w:val="BodyText"/>
      </w:pPr>
      <w:r>
        <w:t xml:space="preserve"> </w:t>
      </w:r>
    </w:p>
    <w:p>
      <w:pPr>
        <w:pStyle w:val="BodyText"/>
      </w:pPr>
      <w:r>
        <w:t xml:space="preserve">Sub-basin NOM concentration and aromaticity decreased with increasing representation of metamorphic wark gneiss parent material, but its absence did not correspond to the site with highest concentration or aromaticity. The patterns observed between NOM and metamorphic parent material suggests a more complex relationship between watershed characteristics and NOM dynamics. The metasedimentary Leech River formation (argillite metagreywacke and metagreywacke) was inversely correlated (-0.92) to wark gneiss in the monitoring basins and wasn’t included in RF VIM analyses. There may be an effect on aqueous NOM associated with a combination of parent materials and soil development that wasn’t full elucidated in this analysis.</w:t>
      </w:r>
    </w:p>
    <w:p>
      <w:pPr>
        <w:pStyle w:val="BodyText"/>
      </w:pPr>
      <w:r>
        <w:t xml:space="preserve"> </w:t>
      </w:r>
    </w:p>
    <w:p>
      <w:pPr>
        <w:pStyle w:val="BodyText"/>
      </w:pPr>
      <w:r>
        <w:t xml:space="preserve">Antecedent wetness is an important watershed driver for NOM export as it influences flow paths and hydrologic connectivity to source material</w:t>
      </w:r>
      <w:r>
        <w:t xml:space="preserve"> </w:t>
      </w:r>
      <w:r>
        <w:t xml:space="preserve">(McMillan et al.</w:t>
      </w:r>
      <w:r>
        <w:t xml:space="preserve"> </w:t>
      </w:r>
      <w:hyperlink w:anchor="ref-McMillan2018">
        <w:r>
          <w:rPr>
            <w:rStyle w:val="Hyperlink"/>
          </w:rPr>
          <w:t xml:space="preserve">2018</w:t>
        </w:r>
      </w:hyperlink>
      <w:r>
        <w:t xml:space="preserve">)</w:t>
      </w:r>
      <w:r>
        <w:t xml:space="preserve">. Solute supply and hydrologic connectivity can be interpreted through the magnitude and direction of water quality changes in response to precipitation</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In the Leech WSA, stage changed in response to precipitation and there was an apparent threshold (near 0.75 of peak sampling stage) that suggested a point at which terrestrial aromatic NOM pools had reached peak connectivity to the monitored streams.</w:t>
      </w:r>
    </w:p>
    <w:p>
      <w:pPr>
        <w:pStyle w:val="BodyText"/>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material. Alternatively, if DOC concentrations decreased with rising stage it’s likely that the NOM source pool was limited</w:t>
      </w:r>
      <w:r>
        <w:t xml:space="preserve"> </w:t>
      </w:r>
      <w:r>
        <w:t xml:space="preserve">(Zarnetske et al.</w:t>
      </w:r>
      <w:r>
        <w:t xml:space="preserve"> </w:t>
      </w:r>
      <w:hyperlink w:anchor="ref-Zarnetske2018">
        <w:r>
          <w:rPr>
            <w:rStyle w:val="Hyperlink"/>
          </w:rPr>
          <w:t xml:space="preserve">2018</w:t>
        </w:r>
      </w:hyperlink>
      <w:r>
        <w:t xml:space="preserve">)</w:t>
      </w:r>
      <w:r>
        <w:t xml:space="preserve">. Event-based rising limb changes in DOC concentration varied from a little more than 1% (at Leech-head and the Tunnel) to 95% (at West Leech).</w:t>
      </w:r>
    </w:p>
    <w:p>
      <w:pPr>
        <w:pStyle w:val="BodyText"/>
      </w:pPr>
      <w:r>
        <w:t xml:space="preserve"> </w:t>
      </w:r>
    </w:p>
    <w:p>
      <w:pPr>
        <w:pStyle w:val="BodyText"/>
      </w:pPr>
      <w:r>
        <w:rPr>
          <w:i/>
        </w:rPr>
        <w:t xml:space="preserve">new</w:t>
      </w:r>
    </w:p>
    <w:p>
      <w:pPr>
        <w:pStyle w:val="BodyText"/>
      </w:pPr>
      <w:r>
        <w:t xml:space="preserve">Hood et. al</w:t>
      </w:r>
      <w:r>
        <w:t xml:space="preserve"> </w:t>
      </w:r>
      <w:r>
        <w:t xml:space="preserve">(</w:t>
      </w:r>
      <w:hyperlink w:anchor="ref-Hood2006">
        <w:r>
          <w:rPr>
            <w:rStyle w:val="Hyperlink"/>
          </w:rPr>
          <w:t xml:space="preserve">2006</w:t>
        </w:r>
      </w:hyperlink>
      <w:r>
        <w:t xml:space="preserve">)</w:t>
      </w:r>
      <w:r>
        <w:t xml:space="preserve"> </w:t>
      </w:r>
      <w:r>
        <w:t xml:space="preserve">measured ~200% increase in DOC during events in a small-basins (&lt; 1 km</w:t>
      </w:r>
      <w:r>
        <w:rPr>
          <w:vertAlign w:val="superscript"/>
        </w:rPr>
        <w:t xml:space="preserve">2</w:t>
      </w:r>
      <w:r>
        <w:t xml:space="preserve">) study in the H. J. Andrews Experimental Forest on the west coast of Oregon, CA. While the same magnitude of change in DOC was not measured in the Leech WSA, the methods used by Hood et al</w:t>
      </w:r>
      <w:r>
        <w:t xml:space="preserve"> </w:t>
      </w:r>
      <w:r>
        <w:t xml:space="preserve">(</w:t>
      </w:r>
      <w:hyperlink w:anchor="ref-Hood2006">
        <w:r>
          <w:rPr>
            <w:rStyle w:val="Hyperlink"/>
          </w:rPr>
          <w:t xml:space="preserve">2006</w:t>
        </w:r>
      </w:hyperlink>
      <w:r>
        <w:t xml:space="preserve">)</w:t>
      </w:r>
      <w:r>
        <w:t xml:space="preserve"> </w:t>
      </w:r>
      <w:r>
        <w:t xml:space="preserve">included continuous monitoring as opposed to this study which quantified discrete samples. It’s possible that the changes in DOC that were not captured (i.e. in the stage between vertically staggered Rack bottles) could have shown greater deviation, or possibly, the magnitude of change in the Leech WSA was simply lower than in H.J. Andrews.</w:t>
      </w:r>
    </w:p>
    <w:p>
      <w:pPr>
        <w:pStyle w:val="BodyText"/>
      </w:pPr>
      <w:r>
        <w:t xml:space="preserve"> </w:t>
      </w:r>
    </w:p>
    <w:p>
      <w:pPr>
        <w:pStyle w:val="BodyText"/>
      </w:pPr>
      <w:r>
        <w:t xml:space="preserve">Across the Leech WSA, stream samples with the highest DOC were collected at the highest sampled stage 83% of the time; and there was an 80% co-occurrence of low DOC with low sampling stage. These results indicate an overall pattern of increasing DOC with stage, suggesting that approximately 80% of the time streams were hydrologically connected to a rich supply of NOM. Furthermore, there was a positive relationship between sample aromaticity and stage at the Tunnel, where streamflow from all sub-basins’ is integrated; when coupled with the observed stage-DOC dynamics, this indicates that the supply of NOM was humic in origin approximately 80% of the time.</w:t>
      </w:r>
    </w:p>
    <w:p>
      <w:pPr>
        <w:pStyle w:val="BodyText"/>
      </w:pPr>
      <w:r>
        <w:t xml:space="preserve"> </w:t>
      </w:r>
    </w:p>
    <w:p>
      <w:pPr>
        <w:pStyle w:val="BodyText"/>
      </w:pPr>
      <w:r>
        <w:t xml:space="preserve">In three of the six monitoring sites, low DOC was more often collected at low stages than high DOC was at high stages; the opposite was found at West Leech, where concentration and stage had a greater proportion of common maxima compared to common minima. The headwater sub-basin sites of Chris crk and Leech-head had the same proportions of samples with common maxima and minima of DOC and stage. The observed patterns of NOM concentration with stage changed across the wet season. Peak stage was more often associated with minimal DOC early in the wet season, whereas DOC tended to peak with stage (or close to peak stage) later in the wet season. The observed temporal change in NOM concentration is evidence of early wet-season NOM being limited in supply and subject to rapid flushing, while late wet-season NOM in streams was drawn from a more sustainable pool of source material. The apparent stage and wetness threshold for NOM concentration and character (approximately 75% of maximum stage and about 150 mm of antecedent 30-day rain), suggested a point at which humic NOM sources either reached maximum connectivity with the streams, or that the aromatic source pools were depleted.</w:t>
      </w:r>
    </w:p>
    <w:p>
      <w:pPr>
        <w:pStyle w:val="SourceCode"/>
      </w:pPr>
      <w:r>
        <w:rPr>
          <w:rStyle w:val="VerbatimChar"/>
        </w:rPr>
        <w:t xml:space="preserve">another possible explanation for the concentration-stage threshold could be indicative of a transition point in the event hydrograph from soil water contributions to throughfall and overland flow [@Penna2019].</w:t>
      </w:r>
    </w:p>
    <w:p>
      <w:pPr>
        <w:pStyle w:val="FirstParagraph"/>
      </w:pPr>
      <w:r>
        <w:t xml:space="preserve"> </w:t>
      </w:r>
    </w:p>
    <w:p>
      <w:pPr>
        <w:pStyle w:val="BodyText"/>
      </w:pPr>
      <w:r>
        <w:t xml:space="preserve">The quantity of stream NOM was greatest early in the wet season, with peak concentrations found in the first event-based samples; while NOM aromaticity, reactivity and molecular weight peaked later in the wet season. Coupled with the other results, this indicates that early wet-season rain events exported high concentrations of aliphatic NOM from sources that were likely autochthonous and quickly depleted. The antecedent wetness hysteresis loop of event 10 supports the hypothesis for dilution of near-stream (or in-stream) NOM early in the wet season. Later wet-season rain events transported larger, more aromatic NOM from source pools that were likely allochthonous humic material and whose export relied on greater landscape saturation and hydrologic connectivity. The hysteresis loop for event 11 supported the idea of stream NOM enrichment occurring as antecedent wetness increased (i.e. hydrologic connectivity increased).</w:t>
      </w:r>
    </w:p>
    <w:p>
      <w:pPr>
        <w:pStyle w:val="BodyText"/>
      </w:pPr>
      <w:r>
        <w:t xml:space="preserve"> </w:t>
      </w:r>
    </w:p>
    <w:p>
      <w:pPr>
        <w:pStyle w:val="BodyText"/>
      </w:pPr>
      <w:r>
        <w:t xml:space="preserve">Between the wet and dry season, there were opposite spatial patterns for NOM molecular size and aromatic character. NOM aromaticity increased from upstream to downstream in the dry season, while the wet season showed decreasing aromaticity from head to mouth. The different seasonal patterns in NOM quality support a change in source material and a shift from NOM processing in the dry season to dilution effects in the wet season.</w:t>
      </w:r>
    </w:p>
    <w:p>
      <w:pPr>
        <w:pStyle w:val="BodyText"/>
      </w:pPr>
      <w:r>
        <w:t xml:space="preserve"> </w:t>
      </w:r>
    </w:p>
    <w:p>
      <w:pPr>
        <w:pStyle w:val="Heading3"/>
      </w:pPr>
      <w:bookmarkStart w:id="126" w:name="summary-and-future-directions-1"/>
      <w:r>
        <w:t xml:space="preserve">Summary and future directions</w:t>
      </w:r>
      <w:bookmarkEnd w:id="126"/>
    </w:p>
    <w:p>
      <w:pPr>
        <w:pStyle w:val="FirstParagraph"/>
      </w:pPr>
      <w:r>
        <w:t xml:space="preserve">The parent material in each sub-basin was important for NOM dynamics. Although the precise relationship was not completely resolved, it was evident that a greater proportion of metamorphic parent material corresponded to lower concentrations of less aromatic and less reactive NOM in streams.</w:t>
      </w:r>
    </w:p>
    <w:p>
      <w:pPr>
        <w:pStyle w:val="BodyText"/>
      </w:pPr>
      <w:r>
        <w:t xml:space="preserve"> </w:t>
      </w:r>
    </w:p>
    <w:p>
      <w:pPr>
        <w:pStyle w:val="BodyText"/>
      </w:pPr>
      <w:r>
        <w:t xml:space="preserve">Approximately 80% of the time during hydrologic pulses in the wet season, monitoring sites were connected to rich supplies of humic NOM. For a shorter time, early in the wet-season, streams exported high concentrations of aliphatic NOM from autochthonous sources that were subject to rapid flushing and were quickly depleted. Streams were hydrologically connected to sustainable pools of allochthonous source material later in the wet season. It appeared that when streams were near 75% of their maximum stage (therefore, approximately 0.75 of peak flow) humic source pools reached maximum connectivity with the streams.</w:t>
      </w:r>
    </w:p>
    <w:p>
      <w:pPr>
        <w:pStyle w:val="BodyText"/>
      </w:pPr>
      <w:r>
        <w:t xml:space="preserve"> </w:t>
      </w:r>
    </w:p>
    <w:p>
      <w:pPr>
        <w:pStyle w:val="BodyText"/>
      </w:pPr>
      <w:r>
        <w:t xml:space="preserve">In the future, Vertical Rack sampling (and matched sample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BodyText"/>
      </w:pPr>
      <w:r>
        <w:t xml:space="preserve">It was assumed that the arithmetic means of precipitation measured at Chris Creek and Martin’s Gulch Fire Weather Stations were representative of conditions across the Leech WSA and mean rain data were applied to all monitoring sites (Chapter 2). However, it is entirely likely that the West Leech sub-basin experienced different weather than the rest of the watershed; observations during field work (Appendix</w:t>
      </w:r>
      <w:r>
        <w:t xml:space="preserve"> </w:t>
      </w:r>
      <w:r>
        <w:rPr>
          <w:i/>
        </w:rPr>
        <w:t xml:space="preserve">XXXX</w:t>
      </w:r>
      <w:r>
        <w:t xml:space="preserve">) support this possibility. When a weather station is constructed in the West Leech basin, more precise explorations could be conducted with respect to antecedent wetness and water quality dynamics.</w:t>
      </w:r>
    </w:p>
    <w:p>
      <w:pPr>
        <w:pStyle w:val="BodyText"/>
      </w:pPr>
      <w:r>
        <w:t xml:space="preserve"> </w:t>
      </w:r>
    </w:p>
    <w:p>
      <w:pPr>
        <w:pStyle w:val="BodyText"/>
      </w:pPr>
      <w:r>
        <w:t xml:space="preserve">With additional weather data (e.g. humidity), it would be interesting to explore whether the variables associated with increased fire risk or mass wasting might also be predictors for NOM dynamics (or any other water quality parameter of interest). The security of drinking water supply quality depends on weather, which is also a major player in other risks to the forested watershed. With greater understanding of the conditions and characteristics that drive water quality dynamics, an index system could be created that incorporates predictors for drinking water supply quality with those for forested watershed threats (e.g. wildfire or windthrow).</w:t>
      </w:r>
    </w:p>
    <w:p>
      <w:pPr>
        <w:pStyle w:val="Heading2"/>
      </w:pPr>
      <w:bookmarkStart w:id="127" w:name="X817d76ac5082c95eed9959930bb46ce8e101c6f"/>
      <w:r>
        <w:t xml:space="preserve">Linking Research Results with Concepts of Forest Hydrology and Source Water Treatability</w:t>
      </w:r>
      <w:bookmarkEnd w:id="127"/>
    </w:p>
    <w:p>
      <w:pPr>
        <w:pStyle w:val="FirstParagraph"/>
      </w:pPr>
      <w:r>
        <w:t xml:space="preserve"> </w:t>
      </w:r>
    </w:p>
    <w:p>
      <w:pPr>
        <w:pStyle w:val="BodyText"/>
      </w:pPr>
      <w:r>
        <w:t xml:space="preserve">This chapter summarizes results from Chapters two to four and discusses them in context of a forested drinking water supply with interpretation of watershed attributes and environmental conditions as possible drivers for variability. Results are discussed through the lens of supplemental source drinking water and treatability.</w:t>
      </w:r>
    </w:p>
    <w:p>
      <w:pPr>
        <w:pStyle w:val="BodyText"/>
      </w:pPr>
      <w:r>
        <w:t xml:space="preserve"> </w:t>
      </w:r>
    </w:p>
    <w:p>
      <w:pPr>
        <w:pStyle w:val="Heading3"/>
      </w:pPr>
      <w:bookmarkStart w:id="128" w:name="recap-and-synopsis-of-results"/>
      <w:r>
        <w:t xml:space="preserve">Recap and synopsis of results</w:t>
      </w:r>
      <w:bookmarkEnd w:id="128"/>
    </w:p>
    <w:p>
      <w:pPr>
        <w:pStyle w:val="FirstParagraph"/>
      </w:pPr>
      <w:r>
        <w:t xml:space="preserve">Stream water samples were collected from across the Greater Victoria Water Supply Area (GVWSA) and aqueous natural organic matter (NOM) was evaluated for concentration and character. Natural organic matter (NOM) is a complex assembly of carbon-based molecules. The complicated medley that comprises NOM can be estimated by quantifying the organic carbon that forms its backbone. The molecular structure of NOM can vary from large, highly aromatic compounds to smaller aliphatic molecules and differences can be attributed to the source material. Terrestrial humic substances (i.e. allochthonous NOM) tends to be higher molecular weight, larger and more aromatic in structure; while in-stream sources of NOM (i.e. autochthonous NOM), such as algae, is typically more aliphatic and protein-like in structure. The quantity of aqueous NOM was measured as the concentration of dissolved organic carbon (DOC) in each sample. The molecular quality of NOM was assessed by UV-Vis spectrophotometry; the specific absorbance coefficient at 254 nm (SAC</w:t>
      </w:r>
      <w:r>
        <w:rPr>
          <w:vertAlign w:val="subscript"/>
        </w:rPr>
        <w:t xml:space="preserve">254</w:t>
      </w:r>
      <w:r>
        <w:t xml:space="preserve">) was used as an indicator of NOM molecular aromaticity and reactivity</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and the quotient of SAC at 250 nm and 365 nm (E</w:t>
      </w:r>
      <w:r>
        <w:rPr>
          <w:vertAlign w:val="subscript"/>
        </w:rPr>
        <w:t xml:space="preserve">2</w:t>
      </w:r>
      <w:r>
        <w:t xml:space="preserve">:E</w:t>
      </w:r>
      <w:r>
        <w:rPr>
          <w:vertAlign w:val="subscript"/>
        </w:rPr>
        <w:t xml:space="preserve">3</w:t>
      </w:r>
      <w:r>
        <w:t xml:space="preserve">) was used to indicate (inversely)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The quantity and quality of NOM vary over space and through time; understanding the spatiotemporal patterns of concentrations and character can help to inform source drinking water management decisions by providing watershed science insights to the origins, transport and fate of aqueous parameters associated with NOM. Dissolved metals such as MMMMMMMM were correlated to DOC, because NOM can bind and transport metals in solution [@. Vertical Racks for passive event sampling were coupled with synoptic Grab sampling campaigns to measuring water quality changes over 16 months, through events, and across the GVWSA. A challenge of Vertical Rack sampling is that high water can prohibit safe retrieval of collected samples from the Racks. Coupling continuously recorded stage with manually recorded siphon bottle heights allowed for calculation of sample hold-times and quality control measures for samples that had exceeded an acceptable holding time (Chapter 2). Siphon sampling by Vertical Racks is currently limited to the rising hydrograph limb, but the combination of Grab and Rack sampling can achieve good representation across the hydrograph.</w:t>
      </w:r>
    </w:p>
    <w:p>
      <w:pPr>
        <w:pStyle w:val="BodyText"/>
      </w:pPr>
      <w:r>
        <w:t xml:space="preserve"> </w:t>
      </w:r>
    </w:p>
    <w:p>
      <w:pPr>
        <w:pStyle w:val="Heading4"/>
      </w:pPr>
      <w:bookmarkStart w:id="129" w:name="Xee2786d63f8e7b0900ac25ec568c325aeb499d2"/>
      <w:r>
        <w:t xml:space="preserve">Spatiotemporal dynamics in the quantity and quality of NOM</w:t>
      </w:r>
      <w:bookmarkEnd w:id="129"/>
    </w:p>
    <w:p>
      <w:pPr>
        <w:pStyle w:val="FirstParagraph"/>
      </w:pPr>
      <w:r>
        <w:t xml:space="preserve">The sampling period spanned sixteen months, from October 2018 to February 2020. Seasons were defined as</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and were distinguished by the activity of passive Vertical Rack sample collection. The wet season was characterized by conditions that generated event responses which triggered rising-stage sample collection in the six Leech WSA monitoring site streams (Chapter 2). Based on this definition of seasons, Vertical Rack samples were only collected in the wet season (fall/winter/spring) while Grab samples were collected throughout the entire sampling period. Sampling began after the start of the 2018/2019 wet season, which extended until mid-May 2019. The dry season spanned from mid-May to late September 2019, which is when the 2019/2020 wet season began.</w:t>
      </w:r>
    </w:p>
    <w:p>
      <w:pPr>
        <w:pStyle w:val="BodyText"/>
      </w:pPr>
      <w:r>
        <w:t xml:space="preserve"> </w:t>
      </w:r>
    </w:p>
    <w:p>
      <w:pPr>
        <w:pStyle w:val="BodyText"/>
      </w:pPr>
      <w:r>
        <w:t xml:space="preserve">Results from twelve synoptically sampled sites across the GVWSA were used to assess broad spatial and temporal patterns in stream NOM dynamics (Chapter 3). A more in-depth analysis was completed for six of those sites in the Leech WSA which were equipped with vertical sampling racks (Chapter 4).</w:t>
      </w:r>
    </w:p>
    <w:p>
      <w:pPr>
        <w:pStyle w:val="BodyText"/>
      </w:pPr>
      <w:r>
        <w:t xml:space="preserve">Synoptic sampling results showed broad spatiotemporal patterns that were predicted by the river continuum concept (RCC), including higher NOM concentrations in headwaters with longitudinal reduction in concentration along the reach and a seasonal shift in character, from autochthonous to allochthonous sources.</w:t>
      </w:r>
    </w:p>
    <w:p>
      <w:pPr>
        <w:pStyle w:val="BodyText"/>
      </w:pPr>
      <w:r>
        <w:t xml:space="preserve">Analyses of Leech WSA sites showed that the upstream-to-downstream NOM molecular character patterns changed between seasons, with an increase in aroamticity during the dry season and a decrease in the wet season. The decrease in NOM aromaticity from low to high order streams, observed in the wet seasons, was expected due to dilution effects. In contrast, it was not expected that higher order streams would have more aromatic NOM than lower order streams during the dry season. During downstream transport at low flows, is was expected that NOM would decrease in aromaticity due to abiotic or biotic oxidation (e.g. photodegradation, heterotrophic processing)</w:t>
      </w:r>
    </w:p>
    <w:p>
      <w:pPr>
        <w:pStyle w:val="BodyText"/>
      </w:pPr>
      <w:r>
        <w:t xml:space="preserve">Spatial NOM patterns showed greater concentrations of more aromatic NOM in sub-basins draining the west of the Leech WSA, with lower concentrations of less aromatic NOM in basins draining from the east.</w:t>
      </w:r>
    </w:p>
    <w:p>
      <w:pPr>
        <w:pStyle w:val="BodyText"/>
      </w:pPr>
      <w:r>
        <w:t xml:space="preserve">Temporal patterns…</w:t>
      </w:r>
    </w:p>
    <w:p>
      <w:pPr>
        <w:pStyle w:val="BodyText"/>
      </w:pPr>
      <w:r>
        <w:t xml:space="preserve">Mean DOC was the same, on average, in the wet and dry seasons (6 ± 3 mg/L).</w:t>
      </w:r>
    </w:p>
    <w:p>
      <w:pPr>
        <w:pStyle w:val="BodyText"/>
      </w:pPr>
      <w:r>
        <w:t xml:space="preserve">Although DOC exceeded source water guidelines for TOC (4 mg/L), … RESERVOIR EFFECTS</w:t>
      </w:r>
    </w:p>
    <w:p>
      <w:pPr>
        <w:numPr>
          <w:numId w:val="1003"/>
          <w:ilvl w:val="0"/>
        </w:numPr>
      </w:pPr>
      <w:r>
        <w:t xml:space="preserve">In the wet season, when hydrologic connectivity was greatest, the West Leech sub-basin had aromaticity and molecular size comparable to that of the wetland and lake-dominated Weeks crk sub-basin; though in the dry season, Weeks crk maintained highly aromatic character of stream NOM while the other sub-basins had lower molecular wight, less aromatic NOM than was found at the Tunnel site. The dry season spatial pattern of NOM quality was not expected. Based on the RCC, it was expected that there would be a spatial reduction in NOM character from headwaters to mouth. However, in the dry season, samples collected at the highest order stream (at the future point of diversion) were more aromatic in NOM character than all of the nested catchments except for Weeks crk, which maintained highly aromatic NOM throughout the year due to proximity to the wetlands of Weeks Lake.</w:t>
      </w:r>
    </w:p>
    <w:p>
      <w:pPr>
        <w:numPr>
          <w:numId w:val="1003"/>
          <w:ilvl w:val="0"/>
        </w:numPr>
      </w:pPr>
      <w:r>
        <w:t xml:space="preserve">storm responses: early in the wet season there was a decrease in NOM concentration with increasing flows (higher stage), and as the wet season progresses, stream NOM concentration and aromaticity increased with increasing flows.</w:t>
      </w:r>
    </w:p>
    <w:p>
      <w:pPr>
        <w:pStyle w:val="FirstParagraph"/>
      </w:pPr>
      <w:r>
        <w:t xml:space="preserve">Spatial variation in fluvial water quality can be attributed to hydrological processes and watershed characteristics, as described by the river continuum concept and the pulse-shunt concept</w:t>
      </w:r>
      <w:r>
        <w:t xml:space="preserve"> </w:t>
      </w:r>
      <w:r>
        <w:t xml:space="preserve">(Vannote et al.</w:t>
      </w:r>
      <w:r>
        <w:t xml:space="preserve"> </w:t>
      </w:r>
      <w:hyperlink w:anchor="ref-Vannote1980">
        <w:r>
          <w:rPr>
            <w:rStyle w:val="Hyperlink"/>
          </w:rPr>
          <w:t xml:space="preserve">1980</w:t>
        </w:r>
      </w:hyperlink>
      <w:r>
        <w:t xml:space="preserve">; Raymond et al.</w:t>
      </w:r>
      <w:r>
        <w:t xml:space="preserve"> </w:t>
      </w:r>
      <w:hyperlink w:anchor="ref-Raymond2016">
        <w:r>
          <w:rPr>
            <w:rStyle w:val="Hyperlink"/>
          </w:rPr>
          <w:t xml:space="preserve">2016</w:t>
        </w:r>
      </w:hyperlink>
      <w:r>
        <w:t xml:space="preserve">)</w:t>
      </w:r>
      <w:r>
        <w:t xml:space="preserve">.</w:t>
      </w:r>
    </w:p>
    <w:p>
      <w:pPr>
        <w:pStyle w:val="BodyText"/>
      </w:pPr>
      <w:r>
        <w:t xml:space="preserve">Important watershed characteristics include geomorphic variables, physical impoundments, organic matter inputs and sources, mass transport, solar inputs, and processing by aquatic invertebrates and microbes</w:t>
      </w:r>
      <w:r>
        <w:t xml:space="preserve"> </w:t>
      </w:r>
      <w:r>
        <w:t xml:space="preserve">(Stanley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predicts a temporal shift in NOM character from autochthonous (e.g. algal) to allochthonous (e.g. humic material) sources, and a spatial reduction in NOM molecular diversity from headwaters to river mouth.</w:t>
      </w:r>
    </w:p>
    <w:p>
      <w:pPr>
        <w:pStyle w:val="BodyText"/>
      </w:pPr>
      <w:r>
        <w:t xml:space="preserve">The river continuum concept (RCC) explains temporal changes in NOM character through variable mobilization of source material and biogeochemical processing.</w:t>
      </w:r>
    </w:p>
    <w:p>
      <w:pPr>
        <w:pStyle w:val="BodyText"/>
      </w:pPr>
      <w:r>
        <w:t xml:space="preserve">Spatial-scaling of NOM diversity is</w:t>
      </w:r>
    </w:p>
    <w:p>
      <w:pPr>
        <w:pStyle w:val="Heading5"/>
      </w:pPr>
      <w:bookmarkStart w:id="130" w:name="drivers-for-variation"/>
      <w:r>
        <w:t xml:space="preserve">Drivers for variation</w:t>
      </w:r>
      <w:bookmarkEnd w:id="130"/>
    </w:p>
    <w:p>
      <w:pPr>
        <w:pStyle w:val="FirstParagraph"/>
      </w:pPr>
      <w:r>
        <w:t xml:space="preserve">Data from six sub-basin stream monitoring sites in the Leech WSA were used to assess sampling conditions and watershed characteristic variable importance for predicting NOM concentration and character.</w:t>
      </w:r>
    </w:p>
    <w:p>
      <w:pPr>
        <w:pStyle w:val="Compact"/>
        <w:numPr>
          <w:numId w:val="1004"/>
          <w:ilvl w:val="0"/>
        </w:numPr>
      </w:pPr>
      <w:r>
        <w:t xml:space="preserve">Aqueous NOM dynamics were largely driven by warm and wet conditions across the Leech WSA.</w:t>
      </w:r>
    </w:p>
    <w:p>
      <w:pPr>
        <w:pStyle w:val="Compact"/>
        <w:numPr>
          <w:numId w:val="1004"/>
          <w:ilvl w:val="0"/>
        </w:numPr>
      </w:pPr>
      <w:r>
        <w:t xml:space="preserve">wetness connecting</w:t>
      </w:r>
    </w:p>
    <w:p>
      <w:pPr>
        <w:pStyle w:val="Compact"/>
        <w:numPr>
          <w:numId w:val="1004"/>
          <w:ilvl w:val="0"/>
        </w:numPr>
      </w:pPr>
      <w:r>
        <w:t xml:space="preserve">Watershed characteristics, such as sub-basin parent materials and forest structure (age and logging history) are likely responsible for some spatial variation in stream water quality. In conjunction with physical characteristics of the watershed, hydrologic conditions are primarily responsible for temporal variations observeds in stream water quality.</w:t>
      </w:r>
    </w:p>
    <w:p>
      <w:pPr>
        <w:pStyle w:val="FirstParagraph"/>
      </w:pPr>
      <w:r>
        <w:t xml:space="preserve">… It appeared that when streams were near 75% of their maximum stage (therefore, approximately 0.75 of peak flow) humic source pools reached maximum connectivity with the streams… this could be explained by…</w:t>
      </w:r>
      <w:r>
        <w:t xml:space="preserve"> </w:t>
      </w:r>
      <w:r>
        <w:t xml:space="preserve">* the apparent stage threshold for peak DOC (~0.75 of max sampling stage) suggests a point at which allochthonous (humic) NOM supply reached maximum connectivity with the streams. This threshold could also indicate a point at with the event hydrograph was separated from soil water contributions and throughflow to overland flow and throughfall</w:t>
      </w:r>
      <w:r>
        <w:t xml:space="preserve"> </w:t>
      </w:r>
      <w:r>
        <w:t xml:space="preserve">(Penna and Meerveld</w:t>
      </w:r>
      <w:r>
        <w:t xml:space="preserve"> </w:t>
      </w:r>
      <w:hyperlink w:anchor="ref-Penna2019">
        <w:r>
          <w:rPr>
            <w:rStyle w:val="Hyperlink"/>
          </w:rPr>
          <w:t xml:space="preserve">2019</w:t>
        </w:r>
      </w:hyperlink>
      <w:r>
        <w:t xml:space="preserve">)</w:t>
      </w:r>
      <w:r>
        <w:t xml:space="preserve">.</w:t>
      </w:r>
    </w:p>
    <w:p>
      <w:pPr>
        <w:pStyle w:val="Heading3"/>
      </w:pPr>
      <w:bookmarkStart w:id="131" w:name="drinking-water-supply-lens"/>
      <w:r>
        <w:t xml:space="preserve">Drinking water supply lens</w:t>
      </w:r>
      <w:bookmarkEnd w:id="131"/>
    </w:p>
    <w:p>
      <w:pPr>
        <w:pStyle w:val="Compact"/>
        <w:numPr>
          <w:numId w:val="1005"/>
          <w:ilvl w:val="0"/>
        </w:numPr>
      </w:pPr>
      <w:r>
        <w:t xml:space="preserve">establishing connectivity among nested catchments as a baseline for experimental treatments (future)</w:t>
      </w:r>
    </w:p>
    <w:p>
      <w:pPr>
        <w:pStyle w:val="Heading4"/>
      </w:pPr>
      <w:bookmarkStart w:id="132" w:name="Xf50df7df478e0a1bac8d89f7d7df294a230f2bc"/>
      <w:r>
        <w:t xml:space="preserve">Seasonality and Leech River diversion for inter-basin water transfers</w:t>
      </w:r>
      <w:bookmarkEnd w:id="132"/>
    </w:p>
    <w:p>
      <w:pPr>
        <w:pStyle w:val="Heading4"/>
      </w:pPr>
      <w:bookmarkStart w:id="133" w:name="section"/>
      <w:bookmarkEnd w:id="133"/>
    </w:p>
    <w:p>
      <w:pPr>
        <w:pStyle w:val="FirstParagraph"/>
      </w:pPr>
      <w:r>
        <w:t xml:space="preserve">.</w:t>
      </w:r>
      <w:r>
        <w:t xml:space="preserve"> </w:t>
      </w:r>
      <w:r>
        <w:t xml:space="preserve">.</w:t>
      </w:r>
      <w:r>
        <w:t xml:space="preserve"> </w:t>
      </w:r>
      <w:r>
        <w:t xml:space="preserve">.</w:t>
      </w:r>
    </w:p>
    <w:p>
      <w:pPr>
        <w:pStyle w:val="BodyText"/>
      </w:pPr>
      <w:r>
        <w:t xml:space="preserve">Mean DOC among the six sites was essentially the same in both the wet and dry seasons (Chapter 3), but spatial patterns differed between the seasons. In the dry season, aqueous NOM aromaticity increased from upstream to downstream monitoring sites; while the wet season showed effects of dilution on both the quantity and quality of NOM. These seasonal differences support both a shift in NOM source material and a shift from NOM processing in the dry season and transport/dilution effects in the wet season.</w:t>
      </w:r>
    </w:p>
    <w:p>
      <w:pPr>
        <w:pStyle w:val="BodyText"/>
      </w:pPr>
      <w:r>
        <w:t xml:space="preserve"> </w:t>
      </w:r>
    </w:p>
    <w:p>
      <w:pPr>
        <w:pStyle w:val="BodyText"/>
      </w:pPr>
      <w:r>
        <w:t xml:space="preserve">What are the implications for watershed management and future drinking water supply?</w:t>
      </w:r>
    </w:p>
    <w:p>
      <w:pPr>
        <w:pStyle w:val="BodyText"/>
      </w:pPr>
      <w:r>
        <w:t xml:space="preserve">Provide context of how results can be used to inform watershed management planning for wildfire reduction strategies and design of continued water quality monitoring for future inter-basin transfers.</w:t>
      </w:r>
    </w:p>
    <w:p>
      <w:pPr>
        <w:pStyle w:val="Compact"/>
        <w:numPr>
          <w:numId w:val="1006"/>
          <w:ilvl w:val="0"/>
        </w:numPr>
      </w:pPr>
      <w:r>
        <w:t xml:space="preserve">conflicting objectives and competing values (Peter Duinker’s work)</w:t>
      </w:r>
    </w:p>
    <w:p>
      <w:pPr>
        <w:pStyle w:val="Compact"/>
        <w:numPr>
          <w:numId w:val="1007"/>
          <w:ilvl w:val="1"/>
        </w:numPr>
      </w:pPr>
      <w:r>
        <w:t xml:space="preserve">managing temperate forests for timber removes carbon pools, managing for protection may increase the carbon, thus protection does not necessarily improve water quality.</w:t>
      </w:r>
    </w:p>
    <w:p>
      <w:pPr>
        <w:pStyle w:val="Compact"/>
        <w:numPr>
          <w:numId w:val="1007"/>
          <w:ilvl w:val="1"/>
        </w:numPr>
      </w:pPr>
      <w:r>
        <w:t xml:space="preserve">timber / carbon sequestration / water / biodiversity</w:t>
      </w:r>
    </w:p>
    <w:p>
      <w:pPr>
        <w:pStyle w:val="Compact"/>
        <w:numPr>
          <w:numId w:val="1006"/>
          <w:ilvl w:val="0"/>
        </w:numPr>
      </w:pPr>
      <w:r>
        <w:t xml:space="preserve">source water quality in rivers is unlikely to reflect the water at the intake tower</w:t>
      </w:r>
    </w:p>
    <w:p>
      <w:pPr>
        <w:pStyle w:val="Compact"/>
        <w:numPr>
          <w:numId w:val="1008"/>
          <w:ilvl w:val="1"/>
        </w:numPr>
      </w:pPr>
      <w:r>
        <w:t xml:space="preserve">reservoir residence times</w:t>
      </w:r>
    </w:p>
    <w:p>
      <w:pPr>
        <w:pStyle w:val="Compact"/>
        <w:numPr>
          <w:numId w:val="1008"/>
          <w:ilvl w:val="1"/>
        </w:numPr>
      </w:pPr>
      <w:r>
        <w:t xml:space="preserve">photodegradation</w:t>
      </w:r>
    </w:p>
    <w:p>
      <w:pPr>
        <w:pStyle w:val="Compact"/>
        <w:numPr>
          <w:numId w:val="1008"/>
          <w:ilvl w:val="1"/>
        </w:numPr>
      </w:pPr>
      <w:r>
        <w:t xml:space="preserve">physiochemcial reactions and changes</w:t>
      </w:r>
    </w:p>
    <w:p>
      <w:pPr>
        <w:pStyle w:val="Compact"/>
        <w:numPr>
          <w:numId w:val="1008"/>
          <w:ilvl w:val="1"/>
        </w:numPr>
      </w:pPr>
      <w:r>
        <w:t xml:space="preserve">biodegradation // transformation // bioproduction of NOM</w:t>
      </w:r>
    </w:p>
    <w:p>
      <w:pPr>
        <w:pStyle w:val="Compact"/>
        <w:numPr>
          <w:numId w:val="1008"/>
          <w:ilvl w:val="1"/>
        </w:numPr>
      </w:pPr>
      <w:r>
        <w:t xml:space="preserve">the rivers introduce new material and new conditions (e.g. different temperatures, dissolved oxygen, carbonate for buffering or organic acids altering pH, new microbiota) the</w:t>
      </w:r>
    </w:p>
    <w:p>
      <w:pPr>
        <w:pStyle w:val="Compact"/>
        <w:numPr>
          <w:numId w:val="1008"/>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08"/>
          <w:ilvl w:val="1"/>
        </w:numPr>
      </w:pPr>
      <w:r>
        <w:t xml:space="preserve">UV degradation is likely in lakes</w:t>
      </w:r>
    </w:p>
    <w:p>
      <w:pPr>
        <w:pStyle w:val="Compact"/>
        <w:numPr>
          <w:numId w:val="1008"/>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r>
        <w:pict>
          <v:rect style="width:0;height:1.5pt" o:hralign="center" o:hrstd="t" o:hr="t"/>
        </w:pict>
      </w:r>
    </w:p>
    <w:p>
      <w:pPr>
        <w:pStyle w:val="FirstParagraph"/>
      </w:pPr>
      <w:r>
        <w:t xml:space="preserve"> </w:t>
      </w:r>
    </w:p>
    <w:p>
      <w:pPr>
        <w:pStyle w:val="BodyText"/>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r>
        <w:pict>
          <v:rect style="width:0;height:1.5pt" o:hralign="center" o:hrstd="t" o:hr="t"/>
        </w:pict>
      </w:r>
    </w:p>
    <w:p>
      <w:pPr>
        <w:pStyle w:val="Heading4"/>
      </w:pPr>
      <w:bookmarkStart w:id="134" w:name="caveats-and-limitations"/>
      <w:r>
        <w:t xml:space="preserve">Caveats and limitations</w:t>
      </w:r>
      <w:bookmarkEnd w:id="134"/>
    </w:p>
    <w:p>
      <w:pPr>
        <w:pStyle w:val="FirstParagraph"/>
      </w:pPr>
      <w:r>
        <w:t xml:space="preserve">It was assumed that the UV-Vis spectral absorbances for each stream water sample were due to the natural organic matter content, however it is possible that other water quality variables could cause interference. For example, dissolved or colloidal nitrate, nitrite and iron species can absorb light at 250 nm, 254 nm or 365 nm, the wavelengths common to NOM absorption</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w:t>
      </w:r>
    </w:p>
    <w:p>
      <w:pPr>
        <w:pStyle w:val="BodyText"/>
      </w:pPr>
      <w:r>
        <w:t xml:space="preserve"> </w:t>
      </w:r>
    </w:p>
    <w:p>
      <w:pPr>
        <w:pStyle w:val="Heading3"/>
      </w:pPr>
      <w:bookmarkStart w:id="135" w:name="concluding-remarks"/>
      <w:r>
        <w:t xml:space="preserve">Concluding remarks</w:t>
      </w:r>
      <w:bookmarkEnd w:id="135"/>
    </w:p>
    <w:p>
      <w:pPr>
        <w:pStyle w:val="FirstParagraph"/>
      </w:pPr>
      <w:r>
        <w:rPr>
          <w:i/>
          <w:b/>
        </w:rPr>
        <w:t xml:space="preserve">answer all these questions in summary</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09"/>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0"/>
          <w:ilvl w:val="0"/>
        </w:numPr>
      </w:pPr>
      <w:r>
        <w:t xml:space="preserve">Across the LWSA, was the variance in DOC greater within each site or among all sites?</w:t>
      </w:r>
    </w:p>
    <w:p>
      <w:pPr>
        <w:numPr>
          <w:numId w:val="1010"/>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36" w:name="references"/>
      <w:r>
        <w:t xml:space="preserve">References</w:t>
      </w:r>
      <w:bookmarkEnd w:id="136"/>
    </w:p>
    <w:p>
      <w:pPr>
        <w:pStyle w:val="Heading1"/>
      </w:pPr>
      <w:bookmarkStart w:id="137" w:name="appendices"/>
      <w:r>
        <w:t xml:space="preserve">Appendices</w:t>
      </w:r>
      <w:bookmarkEnd w:id="137"/>
    </w:p>
    <w:p>
      <w:pPr>
        <w:pStyle w:val="FirstParagraph"/>
      </w:pPr>
      <w:r>
        <w:t xml:space="preserve">##Technology summary</w:t>
      </w:r>
      <w:r>
        <w:t xml:space="preserve"> </w:t>
      </w:r>
      <w:r>
        <w:t xml:space="preserve">####### Technology summary</w:t>
      </w:r>
    </w:p>
    <w:p>
      <w:pPr>
        <w:pStyle w:val="BodyText"/>
      </w:pPr>
      <w:r>
        <w:t xml:space="preserve">Digital equipment used in this thesis are summarized here.</w:t>
      </w:r>
    </w:p>
    <w:p>
      <w:pPr>
        <w:pStyle w:val="BodyText"/>
      </w:pPr>
      <w:r>
        <w:t xml:space="preserve"> </w:t>
      </w:r>
    </w:p>
    <w:tbl>
      <w:tblPr>
        <w:tblStyle w:val="Table"/>
        <w:tblW w:type="pct" w:w="0.0"/>
        <w:tblLook w:firstRow="1"/>
      </w:tblPr>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38" w:name="example-calculations"/>
      <w:r>
        <w:t xml:space="preserve">Example calculations</w:t>
      </w:r>
      <w:bookmarkEnd w:id="138"/>
    </w:p>
    <w:p>
      <w:pPr>
        <w:pStyle w:val="FirstParagraph"/>
      </w:pPr>
      <w:r>
        <w:t xml:space="preserve">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w:t>
      </w:r>
      <w:r>
        <w:t xml:space="preserve"> </w:t>
      </w:r>
      <w:r>
        <w:t xml:space="preserve">“</w:t>
      </w:r>
      <w:r>
        <w:t xml:space="preserve">staff gauge</w:t>
      </w:r>
      <w:r>
        <w:t xml:space="preserve">”</w:t>
      </w:r>
      <w:r>
        <w:t xml:space="preserve"> </w:t>
      </w:r>
      <w:r>
        <w:t xml:space="preserve">(measuring tape on the stilling well) datum.</w:t>
      </w:r>
    </w:p>
    <w:p>
      <w:pPr>
        <w:pStyle w:val="BodyText"/>
      </w:pPr>
      <w:r>
        <w:t xml:space="preserve">Equation 1:</w:t>
      </w:r>
    </w:p>
    <w:p>
      <w:pPr>
        <w:pStyle w:val="BodyText"/>
      </w:pPr>
      <m:oMathPara>
        <m:oMathParaPr>
          <m:jc m:val="center"/>
        </m:oMathParaPr>
        <m:oMath>
          <m:r>
            <m:t>n</m:t>
          </m:r>
          <m:r>
            <m:t>o</m:t>
          </m:r>
          <m:r>
            <m:t>r</m:t>
          </m:r>
          <m:r>
            <m:t>m</m:t>
          </m:r>
          <m:r>
            <m:t>a</m:t>
          </m:r>
          <m:r>
            <m:t>l</m:t>
          </m:r>
          <m:r>
            <m:t>i</m:t>
          </m:r>
          <m:r>
            <m:t>z</m:t>
          </m:r>
          <m:r>
            <m:t>e</m:t>
          </m:r>
          <m:r>
            <m:t>d</m:t>
          </m:r>
          <m:r>
            <m:t> </m:t>
          </m:r>
          <m:sSub>
            <m:e>
              <m:r>
                <m:t>X</m:t>
              </m:r>
            </m:e>
            <m:sub>
              <m:r>
                <m:t>i</m:t>
              </m:r>
            </m:sub>
          </m:sSub>
          <m:r>
            <m:t>=</m:t>
          </m:r>
          <m:f>
            <m:fPr>
              <m:type m:val="bar"/>
            </m:fPr>
            <m:num>
              <m:r>
                <m:t>(</m:t>
              </m:r>
              <m:sSub>
                <m:e>
                  <m:r>
                    <m:t>X</m:t>
                  </m:r>
                </m:e>
                <m:sub>
                  <m:r>
                    <m:t>i</m:t>
                  </m:r>
                </m:sub>
              </m:sSub>
              <m:r>
                <m:t>−</m:t>
              </m:r>
              <m:sSub>
                <m:e>
                  <m:r>
                    <m:t>X</m:t>
                  </m:r>
                </m:e>
                <m:sub>
                  <m:r>
                    <m:t>m</m:t>
                  </m:r>
                  <m:r>
                    <m:t>i</m:t>
                  </m:r>
                  <m:r>
                    <m:t>n</m:t>
                  </m:r>
                </m:sub>
              </m:sSub>
              <m:r>
                <m:t>)</m:t>
              </m:r>
            </m:num>
            <m:den>
              <m:r>
                <m:t>(</m:t>
              </m:r>
              <m:sSub>
                <m:e>
                  <m:r>
                    <m:t>X</m:t>
                  </m:r>
                </m:e>
                <m:sub>
                  <m:r>
                    <m:t>m</m:t>
                  </m:r>
                  <m:r>
                    <m:t>a</m:t>
                  </m:r>
                  <m:r>
                    <m:t>x</m:t>
                  </m:r>
                </m:sub>
              </m:sSub>
              <m:r>
                <m:t>−</m:t>
              </m:r>
              <m:sSub>
                <m:e>
                  <m:r>
                    <m:t>X</m:t>
                  </m:r>
                </m:e>
                <m:sub>
                  <m:r>
                    <m:t>m</m:t>
                  </m:r>
                  <m:r>
                    <m:t>i</m:t>
                  </m:r>
                  <m:r>
                    <m:t>n</m:t>
                  </m:r>
                </m:sub>
              </m:sSub>
              <m:r>
                <m:t>)</m:t>
              </m:r>
            </m:den>
          </m:f>
        </m:oMath>
      </m:oMathPara>
    </w:p>
    <w:p>
      <w:pPr>
        <w:pStyle w:val="Heading2"/>
      </w:pPr>
      <w:bookmarkStart w:id="139" w:name="forwater-crd"/>
      <w:r>
        <w:t xml:space="preserve">forWater CRD</w:t>
      </w:r>
      <w:bookmarkEnd w:id="139"/>
    </w:p>
    <w:p>
      <w:pPr>
        <w:pStyle w:val="Heading7"/>
      </w:pPr>
      <w:bookmarkStart w:id="140" w:name="Xe94dc613e79104e648a7e62ba8d389c33fd5369"/>
      <w:r>
        <w:t xml:space="preserve">NSERC forWater Network &amp; the Capital Regional District</w:t>
      </w:r>
      <w:bookmarkEnd w:id="140"/>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r>
        <w:t xml:space="preserve"> </w:t>
      </w:r>
      <w:r>
        <w:t xml:space="preserve">## GVWSA</w:t>
      </w:r>
      <w:r>
        <w:t xml:space="preserve"> </w:t>
      </w:r>
      <w:r>
        <w:t xml:space="preserve">######## Greater Victoria Regional Water Supply System, CRD</w:t>
      </w:r>
    </w:p>
    <w:p>
      <w:pPr>
        <w:pStyle w:val="BodyText"/>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r>
        <w:t xml:space="preserve"> </w:t>
      </w:r>
      <w:r>
        <w:t xml:space="preserve">## LeechWSA details</w:t>
      </w:r>
      <w:r>
        <w:t xml:space="preserve"> </w:t>
      </w:r>
      <w:r>
        <w:t xml:space="preserve">######## Leech water supply area monitoring sites: details and observations</w:t>
      </w:r>
    </w:p>
    <w:p>
      <w:pPr>
        <w:pStyle w:val="BodyText"/>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BodyText"/>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41" w:name="weeks-creek-site-1"/>
      <w:r>
        <w:t xml:space="preserve">Weeks Creek (site 1)</w:t>
      </w:r>
      <w:bookmarkEnd w:id="141"/>
    </w:p>
    <w:p>
      <w:pPr>
        <w:pStyle w:val="FirstParagraph"/>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Heading9"/>
      </w:pPr>
      <w:bookmarkStart w:id="142" w:name="chris-creek-site-2"/>
      <w:r>
        <w:t xml:space="preserve">Chris Creek (site 2)</w:t>
      </w:r>
      <w:bookmarkEnd w:id="142"/>
    </w:p>
    <w:p>
      <w:pPr>
        <w:pStyle w:val="FirstParagraph"/>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Heading9"/>
      </w:pPr>
      <w:bookmarkStart w:id="143" w:name="leech-head-site-3"/>
      <w:r>
        <w:t xml:space="preserve">Leech Head (site 3)</w:t>
      </w:r>
      <w:bookmarkEnd w:id="143"/>
    </w:p>
    <w:p>
      <w:pPr>
        <w:pStyle w:val="FirstParagraph"/>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44" w:name="cragg-creek-site-4"/>
      <w:r>
        <w:t xml:space="preserve">Cragg Creek (site 4)</w:t>
      </w:r>
      <w:bookmarkEnd w:id="144"/>
    </w:p>
    <w:p>
      <w:pPr>
        <w:pStyle w:val="FirstParagraph"/>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28: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45"/>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Heading9"/>
      </w:pPr>
      <w:bookmarkStart w:id="146" w:name="west-leech-site-5"/>
      <w:r>
        <w:t xml:space="preserve">West Leech (site 5)</w:t>
      </w:r>
      <w:bookmarkEnd w:id="146"/>
    </w:p>
    <w:p>
      <w:pPr>
        <w:pStyle w:val="FirstParagraph"/>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Heading9"/>
      </w:pPr>
      <w:bookmarkStart w:id="147" w:name="leech-tunnel-site-6"/>
      <w:r>
        <w:t xml:space="preserve">Leech Tunnel (site 6)</w:t>
      </w:r>
      <w:bookmarkEnd w:id="147"/>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r>
        <w:t xml:space="preserve"> </w:t>
      </w:r>
      <w:r>
        <w:t xml:space="preserve">## Treatability</w:t>
      </w:r>
      <w:r>
        <w:t xml:space="preserve"> </w:t>
      </w:r>
      <w:r>
        <w:t xml:space="preserve">######## Treatability: forWater coordinated treatability analyses for disinfection by-product formation potentials (DBP-FP)</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1"/>
          <w:ilvl w:val="0"/>
        </w:numPr>
      </w:pPr>
      <w:r>
        <w:t xml:space="preserve">Leech River at the future point of diversion (near Leech Tunnel inlet)</w:t>
      </w:r>
    </w:p>
    <w:p>
      <w:pPr>
        <w:pStyle w:val="Compact"/>
        <w:numPr>
          <w:numId w:val="1011"/>
          <w:ilvl w:val="0"/>
        </w:numPr>
      </w:pPr>
      <w:r>
        <w:t xml:space="preserve">Deception Reservoir, downstream from Deception Gulch (outlet of Leech Tunnel)</w:t>
      </w:r>
    </w:p>
    <w:p>
      <w:pPr>
        <w:pStyle w:val="Compact"/>
        <w:numPr>
          <w:numId w:val="1011"/>
          <w:ilvl w:val="0"/>
        </w:numPr>
      </w:pPr>
      <w:r>
        <w:t xml:space="preserve">Rithet Creek (main tributary to Sooke Reservoir)</w:t>
      </w:r>
    </w:p>
    <w:p>
      <w:pPr>
        <w:pStyle w:val="Compact"/>
        <w:numPr>
          <w:numId w:val="1011"/>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r>
        <w:t xml:space="preserve"> </w:t>
      </w:r>
      <w:r>
        <w:t xml:space="preserve">### results</w:t>
      </w:r>
      <w:r>
        <w:t xml:space="preserve"> </w:t>
      </w:r>
      <w:r>
        <w:t xml:space="preserve">######### Results: Treatability &amp; DOC</w:t>
      </w:r>
    </w:p>
    <w:p>
      <w:pPr>
        <w:pStyle w:val="BodyText"/>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29</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5963478"/>
            <wp:effectExtent b="0" l="0" r="0" t="0"/>
            <wp:docPr descr="Figure 29: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148"/>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2"/>
      </w:pPr>
      <w:bookmarkStart w:id="149" w:name="metals"/>
      <w:r>
        <w:t xml:space="preserve">Metals</w:t>
      </w:r>
      <w:bookmarkEnd w:id="149"/>
    </w:p>
    <w:p>
      <w:pPr>
        <w:pStyle w:val="Heading8"/>
      </w:pPr>
      <w:bookmarkStart w:id="150" w:name="X4b7b3e6ac6573f953e6980479d08b8ee7c28f75"/>
      <w:r>
        <w:t xml:space="preserve">Metals &amp; DOC: collaborative sampling for Metals on behalf of the CRD</w:t>
      </w:r>
      <w:bookmarkEnd w:id="150"/>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r>
        <w:t xml:space="preserve"> </w:t>
      </w:r>
      <w:r>
        <w:t xml:space="preserve">### and DOC</w:t>
      </w:r>
      <w:r>
        <w:t xml:space="preserve"> </w:t>
      </w:r>
      <w:r>
        <w:t xml:space="preserve">######### 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30</w:t>
      </w:r>
      <w:r>
        <w:t xml:space="preserve"> </w:t>
      </w:r>
      <w:r>
        <w:t xml:space="preserve">shows DOC with total metals in μg/L, and Figure</w:t>
      </w:r>
      <w:r>
        <w:t xml:space="preserve"> </w:t>
      </w:r>
      <w:r>
        <w:t xml:space="preserve">31</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30: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51"/>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31: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5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19</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19:</w:t>
      </w:r>
      <w:r>
        <w:t xml:space="preserve"> </w:t>
      </w:r>
      <w:r>
        <w:rPr>
          <w:i/>
        </w:rPr>
        <w:t xml:space="preserve">Relationships between total metals with dissolved organic carbon</w:t>
      </w:r>
    </w:p>
    <w:tbl>
      <w:tblPr>
        <w:tblStyle w:val="Table"/>
        <w:tblW w:type="pct" w:w="0.0"/>
        <w:tblLook w:firstRow="1"/>
        <w:tblCaption w:val="Table 19: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r>
        <w:t xml:space="preserve"> </w:t>
      </w:r>
      <w:r>
        <w:t xml:space="preserve">## FWx</w:t>
      </w:r>
      <w:r>
        <w:t xml:space="preserve"> </w:t>
      </w:r>
      <w:r>
        <w:t xml:space="preserve">######## FWx stations in the LWSA: ancilary data</w:t>
      </w:r>
    </w:p>
    <w:p>
      <w:pPr>
        <w:pStyle w:val="BodyText"/>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32</w:t>
      </w:r>
      <w:r>
        <w:t xml:space="preserve">, Table</w:t>
      </w:r>
      <w:r>
        <w:t xml:space="preserve"> </w:t>
      </w:r>
      <w:r>
        <w:t xml:space="preserve">20</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2: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53"/>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20: Annual weather from CRD FWx stations in the Leech water supply area*</w:t>
      </w:r>
    </w:p>
    <w:tbl>
      <w:tblPr>
        <w:tblStyle w:val="Table"/>
        <w:tblW w:type="pct" w:w="0.0"/>
        <w:tblLook w:firstRow="1"/>
        <w:tblCaption w:val="Table 20: Annual weather from CRD FWx stations in the Leech water supply area*"/>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r>
        <w:t xml:space="preserve"> </w:t>
      </w:r>
      <w:r>
        <w:t xml:space="preserve">## Linear Wx regress</w:t>
      </w:r>
      <w:r>
        <w:t xml:space="preserve"> </w:t>
      </w:r>
      <w:r>
        <w:t xml:space="preserve">####### Linear regression for air temperatures at vertical racks</w:t>
      </w:r>
    </w:p>
    <w:p>
      <w:pPr>
        <w:pStyle w:val="BodyText"/>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33</w:t>
      </w:r>
      <w:r>
        <w:t xml:space="preserve">).</w:t>
      </w:r>
    </w:p>
    <w:p>
      <w:pPr>
        <w:pStyle w:val="BodyText"/>
      </w:pPr>
      <w:r>
        <w:t xml:space="preserve"> </w:t>
      </w:r>
    </w:p>
    <w:p>
      <w:pPr>
        <w:pStyle w:val="CaptionedFigure"/>
      </w:pPr>
      <w:r>
        <w:drawing>
          <wp:inline>
            <wp:extent cx="5504749" cy="5504749"/>
            <wp:effectExtent b="0" l="0" r="0" t="0"/>
            <wp:docPr descr="Figure 33: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5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33:</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34</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4: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55"/>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34:</w:t>
      </w:r>
      <w:r>
        <w:t xml:space="preserve"> </w:t>
      </w:r>
      <w:r>
        <w:rPr>
          <w:i/>
        </w:rPr>
        <w:t xml:space="preserve">Temperatures recorded in air and water on vertical racks at each research site.</w:t>
      </w:r>
    </w:p>
    <w:p>
      <w:pPr>
        <w:pStyle w:val="BodyText"/>
      </w:pPr>
      <w:r>
        <w:t xml:space="preserve"> </w:t>
      </w:r>
      <w:r>
        <w:t xml:space="preserve"> </w:t>
      </w:r>
      <w:r>
        <w:t xml:space="preserve">## linear regress</w:t>
      </w:r>
      <w:r>
        <w:t xml:space="preserve"> </w:t>
      </w:r>
      <w:r>
        <w:t xml:space="preserve">######## Linear regression: air temperature estimation</w:t>
      </w:r>
    </w:p>
    <w:p>
      <w:pPr>
        <w:pStyle w:val="BodyText"/>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35</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5: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5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35:</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21</w:t>
      </w:r>
      <w:r>
        <w:t xml:space="preserve">) with no statistical difference (at 90% confidence) for Cragg Crk, West Leech and the Tunnel (sites 4, 5, 6).</w:t>
      </w:r>
    </w:p>
    <w:p>
      <w:pPr>
        <w:pStyle w:val="BodyText"/>
      </w:pPr>
      <w:r>
        <w:t xml:space="preserve"> </w:t>
      </w:r>
    </w:p>
    <w:p>
      <w:pPr>
        <w:pStyle w:val="TableCaption"/>
      </w:pPr>
      <w:r>
        <w:t xml:space="preserve">Table 21:</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1: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36</w:t>
      </w:r>
      <w:r>
        <w:t xml:space="preserve">). Table</w:t>
      </w:r>
      <w:r>
        <w:t xml:space="preserve"> </w:t>
      </w:r>
      <w:r>
        <w:t xml:space="preserve">22</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22:</w:t>
      </w:r>
      <w:r>
        <w:t xml:space="preserve"> </w:t>
      </w:r>
      <w:r>
        <w:rPr>
          <w:i/>
        </w:rPr>
        <w:t xml:space="preserve">Summary of predicted air temperature at each site compared to mean LWSA temperature from CRD FWx stations for the same time period</w:t>
      </w:r>
    </w:p>
    <w:tbl>
      <w:tblPr>
        <w:tblStyle w:val="Table"/>
        <w:tblW w:type="pct" w:w="0.0"/>
        <w:tblLook w:firstRow="1"/>
        <w:tblCaption w:val="Table 22: Summary of predicted air temperature at each site compared to mean LWSA temperature from CRD FWx stations for the same time period"/>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6: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57"/>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36:</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BodyText"/>
      </w:pPr>
      <w:r>
        <w:t xml:space="preserve"> </w:t>
      </w:r>
    </w:p>
    <w:p>
      <w:pPr>
        <w:pStyle w:val="Heading7"/>
      </w:pPr>
      <w:bookmarkStart w:id="158" w:name="antecedent-30-day-rain-and-stream-stage"/>
      <w:r>
        <w:t xml:space="preserve">Antecedent 30-day rain and stream stage</w:t>
      </w:r>
      <w:bookmarkEnd w:id="158"/>
    </w:p>
    <w:p>
      <w:pPr>
        <w:pStyle w:val="FirstParagraph"/>
      </w:pPr>
      <w:r>
        <w:t xml:space="preserve">In Chapter 4, I used antecedent rain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w:t>
      </w:r>
      <w:r>
        <w:t xml:space="preserve"> </w:t>
      </w:r>
      <w:r>
        <w:t xml:space="preserve">37</w:t>
      </w:r>
      <w:r>
        <w:t xml:space="preserve">).</w:t>
      </w:r>
    </w:p>
    <w:p>
      <w:pPr>
        <w:pStyle w:val="BodyText"/>
      </w:pPr>
      <w:r>
        <w:t xml:space="preserve"> </w:t>
      </w:r>
    </w:p>
    <w:p>
      <w:pPr>
        <w:pStyle w:val="CaptionedFigure"/>
      </w:pPr>
      <w:r>
        <w:drawing>
          <wp:inline>
            <wp:extent cx="3669832" cy="3669832"/>
            <wp:effectExtent b="0" l="0" r="0" t="0"/>
            <wp:docPr descr="Figure 37: TRUE" title="" id="1" name="Picture"/>
            <a:graphic>
              <a:graphicData uri="http://schemas.openxmlformats.org/drawingml/2006/picture">
                <pic:pic>
                  <pic:nvPicPr>
                    <pic:cNvPr descr="R-outputs_UBC-forWater-MSc_HMc/figures/Ch4-A_RF_ant.rain-norm.stage.png" id="0" name="Picture"/>
                    <pic:cNvPicPr>
                      <a:picLocks noChangeArrowheads="1" noChangeAspect="1"/>
                    </pic:cNvPicPr>
                  </pic:nvPicPr>
                  <pic:blipFill>
                    <a:blip r:embed="rId15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37: TRUE</w:t>
      </w:r>
    </w:p>
    <w:p>
      <w:pPr>
        <w:pStyle w:val="BodyText"/>
      </w:pPr>
      <w:r>
        <w:t xml:space="preserve"> </w:t>
      </w:r>
    </w:p>
    <w:p>
      <w:pPr>
        <w:pStyle w:val="Heading2"/>
      </w:pPr>
      <w:bookmarkStart w:id="160" w:name="extended-ch3-results"/>
      <w:r>
        <w:t xml:space="preserve">extended ch3 results</w:t>
      </w:r>
      <w:bookmarkEnd w:id="160"/>
    </w:p>
    <w:p>
      <w:pPr>
        <w:pStyle w:val="Heading7"/>
      </w:pPr>
      <w:bookmarkStart w:id="161" w:name="results-extended"/>
      <w:r>
        <w:t xml:space="preserve">Results extended</w:t>
      </w:r>
      <w:bookmarkEnd w:id="161"/>
    </w:p>
    <w:p>
      <w:pPr>
        <w:pStyle w:val="Heading8"/>
      </w:pPr>
      <w:bookmarkStart w:id="162" w:name="Xb062a35fa65c601d9b61eaa15affd59e6cc37d7"/>
      <w:r>
        <w:t xml:space="preserve">Ch.2 extended: NOM sampling in nested catchments</w:t>
      </w:r>
      <w:bookmarkEnd w:id="162"/>
    </w:p>
    <w:p>
      <w:pPr>
        <w:pStyle w:val="FirstParagraph"/>
      </w:pPr>
      <w:r>
        <w:t xml:space="preserve">Below the confluences of headwaters sites (Figure</w:t>
      </w:r>
      <w:r>
        <w:t xml:space="preserve"> </w:t>
      </w:r>
      <w:r>
        <w:t xml:space="preserve">38</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38</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CaptionedFigure"/>
      </w:pPr>
      <w:r>
        <w:drawing>
          <wp:inline>
            <wp:extent cx="5504749" cy="5504749"/>
            <wp:effectExtent b="0" l="0" r="0" t="0"/>
            <wp:docPr descr="Figure 38: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6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38:</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39</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39: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6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39:</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br/>
      </w:r>
    </w:p>
    <w:p>
      <w:pPr>
        <w:pStyle w:val="Heading2"/>
      </w:pPr>
      <w:bookmarkStart w:id="165" w:name="extended-chapter-4-results"/>
      <w:r>
        <w:t xml:space="preserve">extended chapter 4 results</w:t>
      </w:r>
      <w:bookmarkEnd w:id="165"/>
    </w:p>
    <w:p>
      <w:pPr>
        <w:pStyle w:val="Heading8"/>
      </w:pPr>
      <w:bookmarkStart w:id="166" w:name="ch.4-extended-rf-vim"/>
      <w:r>
        <w:t xml:space="preserve">Ch.4 extended: RF VIM</w:t>
      </w:r>
      <w:bookmarkEnd w:id="166"/>
    </w:p>
    <w:p>
      <w:pPr>
        <w:pStyle w:val="FirstParagraph"/>
      </w:pPr>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predictants were combined, it was not expected that the relative ranking would change, and that suggests that these two groups (static and dynamic) of predictants should be separated for RF VIM. Compare plots for the two groups (Ch 4) to Figure</w:t>
      </w:r>
      <w:r>
        <w:t xml:space="preserve"> </w:t>
      </w:r>
      <w:r>
        <w:t xml:space="preserve">40</w:t>
      </w:r>
      <w:r>
        <w:t xml:space="preserve"> </w:t>
      </w:r>
      <w:r>
        <w:t xml:space="preserve">and see how the relative rankings changed.</w:t>
      </w:r>
    </w:p>
    <w:p>
      <w:pPr>
        <w:pStyle w:val="CaptionedFigure"/>
      </w:pPr>
      <w:r>
        <w:drawing>
          <wp:inline>
            <wp:extent cx="5504749" cy="6880936"/>
            <wp:effectExtent b="0" l="0" r="0" t="0"/>
            <wp:docPr descr="Figure 40: TRUE" title="" id="1" name="Picture"/>
            <a:graphic>
              <a:graphicData uri="http://schemas.openxmlformats.org/drawingml/2006/picture">
                <pic:pic>
                  <pic:nvPicPr>
                    <pic:cNvPr descr="R-outputs_UBC-forWater-MSc_HMc/figures/Appendix-Ch4_RFplot-summary_DOC-E2E3-SAC254.png" id="0" name="Picture"/>
                    <pic:cNvPicPr>
                      <a:picLocks noChangeArrowheads="1" noChangeAspect="1"/>
                    </pic:cNvPicPr>
                  </pic:nvPicPr>
                  <pic:blipFill>
                    <a:blip r:embed="rId167"/>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40: TRUE</w:t>
      </w:r>
    </w:p>
    <w:p>
      <w:pPr>
        <w:pStyle w:val="BodyText"/>
      </w:pPr>
      <w:r>
        <w:t xml:space="preserve"> </w:t>
      </w:r>
    </w:p>
    <w:p>
      <w:pPr>
        <w:pStyle w:val="BodyText"/>
      </w:pPr>
      <w:r>
        <w:t xml:space="preserve">Enough samples were collected in both the dry and wet seasons for DOC assessment to tease apart a wet season increase in DOC with increasing antecedent air temperatures, while there was no apaprent trend in the dry season (Figure</w:t>
      </w:r>
      <w:r>
        <w:t xml:space="preserve"> </w:t>
      </w:r>
      <w:r>
        <w:t xml:space="preserve">41</w:t>
      </w:r>
      <w:r>
        <w:t xml:space="preserve">).</w:t>
      </w:r>
    </w:p>
    <w:p>
      <w:pPr>
        <w:pStyle w:val="CaptionedFigure"/>
      </w:pPr>
      <w:r>
        <w:drawing>
          <wp:inline>
            <wp:extent cx="3669832" cy="3669832"/>
            <wp:effectExtent b="0" l="0" r="0" t="0"/>
            <wp:docPr descr="Figure 41: TRUE" title="" id="1" name="Picture"/>
            <a:graphic>
              <a:graphicData uri="http://schemas.openxmlformats.org/drawingml/2006/picture">
                <pic:pic>
                  <pic:nvPicPr>
                    <pic:cNvPr descr="R-outputs_UBC-forWater-MSc_HMc/figures/Appendix-Ch4_RF_DOCtemp.png" id="0" name="Picture"/>
                    <pic:cNvPicPr>
                      <a:picLocks noChangeArrowheads="1" noChangeAspect="1"/>
                    </pic:cNvPicPr>
                  </pic:nvPicPr>
                  <pic:blipFill>
                    <a:blip r:embed="rId16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41: TRUE</w:t>
      </w:r>
    </w:p>
    <w:p>
      <w:pPr>
        <w:pStyle w:val="BodyText"/>
      </w:pPr>
      <w:r>
        <w:t xml:space="preserve"> </w:t>
      </w:r>
    </w:p>
    <w:p>
      <w:pPr>
        <w:pStyle w:val="BodyText"/>
      </w:pPr>
      <w:r>
        <w:t xml:space="preserve">30-day antecedent rain by site…(Figure</w:t>
      </w:r>
      <w:r>
        <w:t xml:space="preserve"> </w:t>
      </w:r>
      <w:r>
        <w:t xml:space="preserve">42</w:t>
      </w:r>
      <w:r>
        <w:t xml:space="preserve">)</w:t>
      </w:r>
    </w:p>
    <w:p>
      <w:pPr>
        <w:pStyle w:val="BodyText"/>
      </w:pPr>
      <w:r>
        <w:t xml:space="preserve"> </w:t>
      </w:r>
    </w:p>
    <w:p>
      <w:pPr>
        <w:pStyle w:val="CaptionedFigure"/>
      </w:pPr>
      <w:r>
        <w:drawing>
          <wp:inline>
            <wp:extent cx="5504749" cy="6422207"/>
            <wp:effectExtent b="0" l="0" r="0" t="0"/>
            <wp:docPr descr="Figure 42: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bysite.png" id="0" name="Picture"/>
                    <pic:cNvPicPr>
                      <a:picLocks noChangeArrowheads="1" noChangeAspect="1"/>
                    </pic:cNvPicPr>
                  </pic:nvPicPr>
                  <pic:blipFill>
                    <a:blip r:embed="rId169"/>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42:</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2"/>
      </w:pPr>
      <w:bookmarkStart w:id="170" w:name="possible-trash"/>
      <w:r>
        <w:t xml:space="preserve">possible trash</w:t>
      </w:r>
      <w:bookmarkEnd w:id="170"/>
    </w:p>
    <w:p>
      <w:pPr>
        <w:pStyle w:val="Heading7"/>
      </w:pPr>
      <w:bookmarkStart w:id="171" w:name="possible-trash-1"/>
      <w:r>
        <w:t xml:space="preserve">possible trash</w:t>
      </w:r>
      <w:bookmarkEnd w:id="171"/>
    </w:p>
    <w:p>
      <w:pPr>
        <w:pStyle w:val="Heading3"/>
      </w:pPr>
      <w:bookmarkStart w:id="172" w:name="sampling-methods-1"/>
      <w:r>
        <w:t xml:space="preserve">sampling methods</w:t>
      </w:r>
      <w:bookmarkEnd w:id="172"/>
    </w:p>
    <w:p>
      <w:pPr>
        <w:pStyle w:val="Heading7"/>
      </w:pPr>
      <w:bookmarkStart w:id="173" w:name="sampling-methods-extended"/>
      <w:r>
        <w:t xml:space="preserve">Sampling methods extended</w:t>
      </w:r>
      <w:bookmarkEnd w:id="173"/>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 </w:t>
      </w:r>
      <w:r>
        <w:t xml:space="preserve"> </w:t>
      </w:r>
      <w:r>
        <w:t xml:space="preserve">### vertical racks</w:t>
      </w:r>
      <w:r>
        <w:t xml:space="preserve"> </w:t>
      </w:r>
      <w:r>
        <w:t xml:space="preserve">######## Vertical racks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BodyText"/>
      </w:pPr>
      <w:r>
        <w:t xml:space="preserve"> </w:t>
      </w:r>
      <w:r>
        <w:t xml:space="preserve"> </w:t>
      </w:r>
      <w:r>
        <w:t xml:space="preserve">## prototype</w:t>
      </w:r>
      <w:r>
        <w:t xml:space="preserve"> </w:t>
      </w:r>
      <w:r>
        <w:t xml:space="preserve">######## Prototype for falling limb passive sampling</w:t>
      </w:r>
    </w:p>
    <w:p>
      <w:pPr>
        <w:pStyle w:val="BodyText"/>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BodyText"/>
      </w:pPr>
      <w:r>
        <w:t xml:space="preserve"> </w:t>
      </w:r>
      <w:r>
        <w:t xml:space="preserve"> </w:t>
      </w:r>
      <w:r>
        <w:t xml:space="preserve">### field protocol</w:t>
      </w:r>
      <w:r>
        <w:t xml:space="preserve"> </w:t>
      </w:r>
      <w:r>
        <w:t xml:space="preserve">######## Field protocol</w:t>
      </w:r>
    </w:p>
    <w:p>
      <w:pPr>
        <w:pStyle w:val="BodyText"/>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r>
        <w:t xml:space="preserve"> </w:t>
      </w:r>
      <w:r>
        <w:t xml:space="preserve">### Malahat Wx</w:t>
      </w:r>
      <w:r>
        <w:t xml:space="preserve"> </w:t>
      </w:r>
      <w:r>
        <w:t xml:space="preserve">######## Malahat 5 year weather</w:t>
      </w:r>
    </w:p>
    <w:p>
      <w:pPr>
        <w:pStyle w:val="Compact"/>
        <w:numPr>
          <w:numId w:val="1012"/>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43</w:t>
      </w:r>
      <w:r>
        <w:t xml:space="preserve"> </w:t>
      </w:r>
      <w:r>
        <w:t xml:space="preserve">shows Malahat weather data, which are summarized in Table</w:t>
      </w:r>
      <w:r>
        <w:t xml:space="preserve"> </w:t>
      </w:r>
      <w:r>
        <w:t xml:space="preserve">23</w:t>
      </w:r>
      <w:r>
        <w:t xml:space="preserve">.</w:t>
      </w:r>
    </w:p>
    <w:p>
      <w:pPr>
        <w:pStyle w:val="CaptionedFigure"/>
      </w:pPr>
      <w:r>
        <w:drawing>
          <wp:inline>
            <wp:extent cx="5943600" cy="3668888"/>
            <wp:effectExtent b="0" l="0" r="0" t="0"/>
            <wp:docPr descr="Figure 43: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74"/>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43:</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23:</w:t>
      </w:r>
      <w:r>
        <w:t xml:space="preserve"> </w:t>
      </w:r>
      <w:r>
        <w:rPr>
          <w:i/>
        </w:rPr>
        <w:t xml:space="preserve">Annual weather data from Malahat station (MoTI ID 62091)</w:t>
      </w:r>
    </w:p>
    <w:tbl>
      <w:tblPr>
        <w:tblStyle w:val="Table"/>
        <w:tblW w:type="pct" w:w="0.0"/>
        <w:tblLook w:firstRow="1"/>
        <w:tblCaption w:val="Table 23: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44</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8888"/>
            <wp:effectExtent b="0" l="0" r="0" t="0"/>
            <wp:docPr descr="Figure 44: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75"/>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44:</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24:</w:t>
      </w:r>
      <w:r>
        <w:t xml:space="preserve"> </w:t>
      </w:r>
      <w:r>
        <w:rPr>
          <w:i/>
        </w:rPr>
        <w:t xml:space="preserve">Results of Wilcoxon test for Malahat weather data before and during the study period</w:t>
      </w:r>
    </w:p>
    <w:tbl>
      <w:tblPr>
        <w:tblStyle w:val="Table"/>
        <w:tblW w:type="pct" w:w="0.0"/>
        <w:tblLook w:firstRow="1"/>
        <w:tblCaption w:val="Table 24: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r>
        <w:t xml:space="preserve"> </w:t>
      </w:r>
      <w:r>
        <w:t xml:space="preserve">## spatial variance</w:t>
      </w:r>
      <w:r>
        <w:t xml:space="preserve"> </w:t>
      </w:r>
      <w:r>
        <w:t xml:space="preserve">######## Spatial variance in DOC concentrations</w:t>
      </w:r>
    </w:p>
    <w:p>
      <w:pPr>
        <w:pStyle w:val="BodyText"/>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25</w:t>
      </w:r>
      <w:r>
        <w:t xml:space="preserve">).</w:t>
      </w:r>
    </w:p>
    <w:p>
      <w:pPr>
        <w:pStyle w:val="BodyText"/>
      </w:pPr>
      <w:r>
        <w:t xml:space="preserve"> </w:t>
      </w:r>
    </w:p>
    <w:p>
      <w:pPr>
        <w:pStyle w:val="TableCaption"/>
      </w:pPr>
      <w:r>
        <w:t xml:space="preserve">Table 25:</w:t>
      </w:r>
      <w:r>
        <w:t xml:space="preserve"> </w:t>
      </w:r>
      <w:r>
        <w:rPr>
          <w:i/>
        </w:rPr>
        <w:t xml:space="preserve">Summary of DOC across the six LWSA research sites with each nested catchment classified by basin type.</w:t>
      </w:r>
    </w:p>
    <w:tbl>
      <w:tblPr>
        <w:tblStyle w:val="Table"/>
        <w:tblW w:type="pct" w:w="0.0"/>
        <w:tblLook w:firstRow="1"/>
        <w:tblCaption w:val="Table 25: Summary of DOC across the six LWSA research sites with each nested catchment classified by basin typ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76"/>
      </w:r>
    </w:p>
    <w:p>
      <w:pPr>
        <w:pStyle w:val="BodyText"/>
      </w:pPr>
      <w:r>
        <w:t xml:space="preserve"> </w:t>
      </w:r>
    </w:p>
    <w:p>
      <w:pPr>
        <w:pStyle w:val="BodyText"/>
      </w:pPr>
      <w:r>
        <w:t xml:space="preserve">To identify which pairs of sites had equal DOC variance Levene’s test was applied to sample DOC results. Table</w:t>
      </w:r>
      <w:r>
        <w:t xml:space="preserve"> </w:t>
      </w:r>
      <w:r>
        <w:t xml:space="preserve">26</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26:</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6: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r>
        <w:tc>
          <w:p>
            <w:pPr>
              <w:pStyle w:val="Compact"/>
              <w:jc w:val="left"/>
            </w:pPr>
            <w:r>
              <w:t xml:space="preserve">## E2E3 over time (lo</w:t>
            </w:r>
          </w:p>
        </w:tc>
        <w:tc>
          <w:p>
            <w:pPr>
              <w:pStyle w:val="Compact"/>
              <w:jc w:val="left"/>
            </w:pPr>
            <w:r>
              <w:t xml:space="preserve">ess)</w:t>
            </w:r>
          </w:p>
        </w:tc>
        <w:tc>
          <w:p/>
        </w:tc>
        <w:tc>
          <w:p/>
        </w:tc>
      </w:tr>
      <w:tr>
        <w:tc>
          <w:p>
            <w:pPr>
              <w:pStyle w:val="Compact"/>
              <w:jc w:val="left"/>
            </w:pPr>
            <w:r>
              <w:t xml:space="preserve">######### E2E3 over t</w:t>
            </w:r>
          </w:p>
        </w:tc>
        <w:tc>
          <w:p>
            <w:pPr>
              <w:pStyle w:val="Compact"/>
              <w:jc w:val="left"/>
            </w:pPr>
            <w:r>
              <w:t xml:space="preserve">ime</w:t>
            </w:r>
          </w:p>
        </w:tc>
        <w:tc>
          <w:p/>
        </w:tc>
        <w:tc>
          <w:p/>
        </w:tc>
      </w:tr>
    </w:tbl>
    <w:p>
      <w:pPr>
        <w:pStyle w:val="CaptionedFigure"/>
      </w:pPr>
      <w:r>
        <w:drawing>
          <wp:inline>
            <wp:extent cx="5504749" cy="3669832"/>
            <wp:effectExtent b="0" l="0" r="0" t="0"/>
            <wp:docPr descr="Figure 45: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7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45:</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t xml:space="preserve"> </w:t>
      </w:r>
    </w:p>
    <w:bookmarkStart w:id="327" w:name="refs"/>
    <w:bookmarkStart w:id="179"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78">
        <w:r>
          <w:rPr>
            <w:rStyle w:val="Hyperlink"/>
          </w:rPr>
          <w:t xml:space="preserve">https://doi.org/10.1111/ele.12897</w:t>
        </w:r>
      </w:hyperlink>
      <w:r>
        <w:t xml:space="preserve">.</w:t>
      </w:r>
    </w:p>
    <w:bookmarkEnd w:id="179"/>
    <w:bookmarkStart w:id="181" w:name="ref-Aguilera2018"/>
    <w:p>
      <w:pPr>
        <w:pStyle w:val="Bibliography"/>
      </w:pPr>
      <w:r>
        <w:t xml:space="preserve">Aguilera, Rosana, and John M. Melack. 2018. “Concentration-Discharge Responses to Storm Events in Coastal California Watersheds.”</w:t>
      </w:r>
      <w:r>
        <w:t xml:space="preserve"> </w:t>
      </w:r>
      <w:r>
        <w:rPr>
          <w:i/>
        </w:rPr>
        <w:t xml:space="preserve">Water Resources Research</w:t>
      </w:r>
      <w:r>
        <w:t xml:space="preserve"> </w:t>
      </w:r>
      <w:r>
        <w:t xml:space="preserve">54 (1): 407–24.</w:t>
      </w:r>
      <w:r>
        <w:t xml:space="preserve"> </w:t>
      </w:r>
      <w:hyperlink r:id="rId180">
        <w:r>
          <w:rPr>
            <w:rStyle w:val="Hyperlink"/>
          </w:rPr>
          <w:t xml:space="preserve">https://doi.org/10.1002/2017WR021578</w:t>
        </w:r>
      </w:hyperlink>
      <w:r>
        <w:t xml:space="preserve">.</w:t>
      </w:r>
    </w:p>
    <w:bookmarkEnd w:id="181"/>
    <w:bookmarkStart w:id="183"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82">
        <w:r>
          <w:rPr>
            <w:rStyle w:val="Hyperlink"/>
          </w:rPr>
          <w:t xml:space="preserve">https://doi.org/10.1002/j.1551-8833.1995.tb06299.x</w:t>
        </w:r>
      </w:hyperlink>
      <w:r>
        <w:t xml:space="preserve">.</w:t>
      </w:r>
    </w:p>
    <w:bookmarkEnd w:id="183"/>
    <w:bookmarkStart w:id="185"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84">
        <w:r>
          <w:rPr>
            <w:rStyle w:val="Hyperlink"/>
          </w:rPr>
          <w:t xml:space="preserve">https://doi.org/10.1021/es103992s</w:t>
        </w:r>
      </w:hyperlink>
      <w:r>
        <w:t xml:space="preserve">.</w:t>
      </w:r>
    </w:p>
    <w:bookmarkEnd w:id="185"/>
    <w:bookmarkStart w:id="187"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86">
        <w:r>
          <w:rPr>
            <w:rStyle w:val="Hyperlink"/>
          </w:rPr>
          <w:t xml:space="preserve">https://doi.org/10.1016/j.jhydrol.2014.05.060</w:t>
        </w:r>
      </w:hyperlink>
      <w:r>
        <w:t xml:space="preserve">.</w:t>
      </w:r>
    </w:p>
    <w:bookmarkEnd w:id="187"/>
    <w:bookmarkStart w:id="189"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88">
        <w:r>
          <w:rPr>
            <w:rStyle w:val="Hyperlink"/>
          </w:rPr>
          <w:t xml:space="preserve">https://doi.org/10.1029/2007JG000674</w:t>
        </w:r>
      </w:hyperlink>
      <w:r>
        <w:t xml:space="preserve">.</w:t>
      </w:r>
    </w:p>
    <w:bookmarkEnd w:id="189"/>
    <w:bookmarkStart w:id="191"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90">
        <w:r>
          <w:rPr>
            <w:rStyle w:val="Hyperlink"/>
          </w:rPr>
          <w:t xml:space="preserve">http://www.standardmethods.org/</w:t>
        </w:r>
      </w:hyperlink>
      <w:r>
        <w:t xml:space="preserve">.</w:t>
      </w:r>
    </w:p>
    <w:bookmarkEnd w:id="191"/>
    <w:bookmarkStart w:id="193"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92">
        <w:r>
          <w:rPr>
            <w:rStyle w:val="Hyperlink"/>
          </w:rPr>
          <w:t xml:space="preserve">https://doi.org/10.2105/SMWW.2882.113</w:t>
        </w:r>
      </w:hyperlink>
      <w:r>
        <w:t xml:space="preserve">.</w:t>
      </w:r>
    </w:p>
    <w:bookmarkEnd w:id="193"/>
    <w:bookmarkStart w:id="195"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94">
        <w:r>
          <w:rPr>
            <w:rStyle w:val="Hyperlink"/>
          </w:rPr>
          <w:t xml:space="preserve">https://doi.org/10.1007/s11749-016-0481-7</w:t>
        </w:r>
      </w:hyperlink>
      <w:r>
        <w:t xml:space="preserve">.</w:t>
      </w:r>
    </w:p>
    <w:bookmarkEnd w:id="195"/>
    <w:bookmarkStart w:id="197"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96">
        <w:r>
          <w:rPr>
            <w:rStyle w:val="Hyperlink"/>
          </w:rPr>
          <w:t xml:space="preserve">https://doi.org/10.1201/9780367816377-11</w:t>
        </w:r>
      </w:hyperlink>
      <w:r>
        <w:t xml:space="preserve">.</w:t>
      </w:r>
    </w:p>
    <w:bookmarkEnd w:id="197"/>
    <w:bookmarkStart w:id="199" w:name="ref-BC2019"/>
    <w:p>
      <w:pPr>
        <w:pStyle w:val="Bibliography"/>
      </w:pPr>
      <w:r>
        <w:t xml:space="preserve">British Columbia Ministry of Environment. 2017. “BC Source Drinking Water Quality Guidelines: Guideline Summary.” Victoria, B.C.: Prov. B.C.</w:t>
      </w:r>
      <w:r>
        <w:t xml:space="preserve"> </w:t>
      </w:r>
      <w:hyperlink r:id="rId198">
        <w:r>
          <w:rPr>
            <w:rStyle w:val="Hyperlink"/>
          </w:rPr>
          <w:t xml:space="preserve">https://www2.gov.bc.ca/gov/content/governments/organizational-structure/ministries-organizations/ministries/environment-climate-change</w:t>
        </w:r>
      </w:hyperlink>
      <w:r>
        <w:t xml:space="preserve">.</w:t>
      </w:r>
    </w:p>
    <w:bookmarkEnd w:id="199"/>
    <w:bookmarkStart w:id="200" w:name="ref-CCME2004"/>
    <w:p>
      <w:pPr>
        <w:pStyle w:val="Bibliography"/>
      </w:pPr>
      <w:r>
        <w:t xml:space="preserve">Canadian Council of Ministers of the Environment. 2004. “From source to tap : guidance on the multi-barrier approach to safe drinking water.”</w:t>
      </w:r>
    </w:p>
    <w:bookmarkEnd w:id="200"/>
    <w:bookmarkStart w:id="202" w:name="ref-SoilScience2020"/>
    <w:p>
      <w:pPr>
        <w:pStyle w:val="Bibliography"/>
      </w:pPr>
      <w:r>
        <w:t xml:space="preserve">Canadian Society of Soil Science. 2020. “Soils of Canada.”</w:t>
      </w:r>
      <w:r>
        <w:t xml:space="preserve"> </w:t>
      </w:r>
      <w:hyperlink r:id="rId201">
        <w:r>
          <w:rPr>
            <w:rStyle w:val="Hyperlink"/>
          </w:rPr>
          <w:t xml:space="preserve">https://soilsofcanada.ca</w:t>
        </w:r>
      </w:hyperlink>
      <w:r>
        <w:t xml:space="preserve">.</w:t>
      </w:r>
    </w:p>
    <w:bookmarkEnd w:id="202"/>
    <w:bookmarkStart w:id="204" w:name="ref-CRD"/>
    <w:p>
      <w:pPr>
        <w:pStyle w:val="Bibliography"/>
      </w:pPr>
      <w:r>
        <w:t xml:space="preserve">Capital Regional District. n.d. “Facts and Figures for the Greater Victoria Water Supply Area.” Accessed July 13, 2018.</w:t>
      </w:r>
      <w:r>
        <w:t xml:space="preserve"> </w:t>
      </w:r>
      <w:hyperlink r:id="rId203">
        <w:r>
          <w:rPr>
            <w:rStyle w:val="Hyperlink"/>
          </w:rPr>
          <w:t xml:space="preserve">https://www.crd.bc.ca/service/public-tours/watershed-tours/facts-figures</w:t>
        </w:r>
      </w:hyperlink>
      <w:r>
        <w:t xml:space="preserve">.</w:t>
      </w:r>
    </w:p>
    <w:bookmarkEnd w:id="204"/>
    <w:bookmarkStart w:id="205"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205"/>
    <w:bookmarkStart w:id="207"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206">
        <w:r>
          <w:rPr>
            <w:rStyle w:val="Hyperlink"/>
          </w:rPr>
          <w:t xml:space="preserve">https://doi.org/10.2166/aqua.2008.064</w:t>
        </w:r>
      </w:hyperlink>
      <w:r>
        <w:t xml:space="preserve">.</w:t>
      </w:r>
    </w:p>
    <w:bookmarkEnd w:id="207"/>
    <w:bookmarkStart w:id="209"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208">
        <w:r>
          <w:rPr>
            <w:rStyle w:val="Hyperlink"/>
          </w:rPr>
          <w:t xml:space="preserve">https://doi.org/10.1007/978-94-007-1363-5</w:t>
        </w:r>
      </w:hyperlink>
      <w:r>
        <w:t xml:space="preserve">.</w:t>
      </w:r>
    </w:p>
    <w:bookmarkEnd w:id="209"/>
    <w:bookmarkStart w:id="211" w:name="ref-CapitalRegionDistrict2017"/>
    <w:p>
      <w:pPr>
        <w:pStyle w:val="Bibliography"/>
      </w:pPr>
      <w:r>
        <w:t xml:space="preserve">CRD. 2017. “Regional Water Supply 2017 Strategic Plan.” Victoria, B.C.: Capital Region District, Integrated Water Services.</w:t>
      </w:r>
      <w:r>
        <w:t xml:space="preserve"> </w:t>
      </w:r>
      <w:hyperlink r:id="rId210">
        <w:r>
          <w:rPr>
            <w:rStyle w:val="Hyperlink"/>
          </w:rPr>
          <w:t xml:space="preserve">https://www.crd.bc.ca/project/past-capital-projects-and-initiatives/water-supply-plan</w:t>
        </w:r>
      </w:hyperlink>
      <w:r>
        <w:t xml:space="preserve">.</w:t>
      </w:r>
    </w:p>
    <w:bookmarkEnd w:id="211"/>
    <w:bookmarkStart w:id="213"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212">
        <w:r>
          <w:rPr>
            <w:rStyle w:val="Hyperlink"/>
          </w:rPr>
          <w:t xml:space="preserve">https://doi.org/IWSS-297445977-5079</w:t>
        </w:r>
      </w:hyperlink>
      <w:r>
        <w:t xml:space="preserve">.</w:t>
      </w:r>
    </w:p>
    <w:bookmarkEnd w:id="213"/>
    <w:bookmarkStart w:id="215"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214">
        <w:r>
          <w:rPr>
            <w:rStyle w:val="Hyperlink"/>
          </w:rPr>
          <w:t xml:space="preserve">https://doi.org/10.1139/cjfas-2014-0400</w:t>
        </w:r>
      </w:hyperlink>
      <w:r>
        <w:t xml:space="preserve">.</w:t>
      </w:r>
    </w:p>
    <w:bookmarkEnd w:id="215"/>
    <w:bookmarkStart w:id="217" w:name="ref-MWH2014"/>
    <w:p>
      <w:pPr>
        <w:pStyle w:val="Bibliography"/>
      </w:pPr>
      <w:r>
        <w:t xml:space="preserve">Critten, John C., Rhodes. Trussell, David. Hand, Kerry. Howe, and George. Tchobanoglous. 2012.</w:t>
      </w:r>
      <w:r>
        <w:t xml:space="preserve"> </w:t>
      </w:r>
      <w:r>
        <w:rPr>
          <w:i/>
        </w:rPr>
        <w:t xml:space="preserve">MWH Water Treatment Principles and Design</w:t>
      </w:r>
      <w:r>
        <w:t xml:space="preserve">. 3rd ed. Hoboken, New Jersey: John Wiley &amp; Sons, Inc.</w:t>
      </w:r>
      <w:r>
        <w:t xml:space="preserve"> </w:t>
      </w:r>
      <w:hyperlink r:id="rId216">
        <w:r>
          <w:rPr>
            <w:rStyle w:val="Hyperlink"/>
          </w:rPr>
          <w:t xml:space="preserve">https://doi.org/10.1016/B978-0-12-382092-1.00019-1</w:t>
        </w:r>
      </w:hyperlink>
      <w:r>
        <w:t xml:space="preserve">.</w:t>
      </w:r>
    </w:p>
    <w:bookmarkEnd w:id="217"/>
    <w:bookmarkStart w:id="219"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218">
        <w:r>
          <w:rPr>
            <w:rStyle w:val="Hyperlink"/>
          </w:rPr>
          <w:t xml:space="preserve">https://doi.org/10.1016/j.watres.2016.08.031</w:t>
        </w:r>
      </w:hyperlink>
      <w:r>
        <w:t xml:space="preserve">.</w:t>
      </w:r>
    </w:p>
    <w:bookmarkEnd w:id="219"/>
    <w:bookmarkStart w:id="221" w:name="ref-Diehl2007"/>
    <w:p>
      <w:pPr>
        <w:pStyle w:val="Bibliography"/>
      </w:pPr>
      <w:r>
        <w:t xml:space="preserve">Diehl, Timothy H. 2007. “A Modified Siphon Sampler for Shallow Water.” U.S. Department of the Interior, U.S. Geological Survey.</w:t>
      </w:r>
      <w:r>
        <w:t xml:space="preserve"> </w:t>
      </w:r>
      <w:hyperlink r:id="rId220">
        <w:r>
          <w:rPr>
            <w:rStyle w:val="Hyperlink"/>
          </w:rPr>
          <w:t xml:space="preserve">https://pubs.er.usgs.gov/publication/sir20075282</w:t>
        </w:r>
      </w:hyperlink>
      <w:r>
        <w:t xml:space="preserve">.</w:t>
      </w:r>
    </w:p>
    <w:bookmarkEnd w:id="221"/>
    <w:bookmarkStart w:id="223"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222">
        <w:r>
          <w:rPr>
            <w:rStyle w:val="Hyperlink"/>
          </w:rPr>
          <w:t xml:space="preserve">http://scholar.google.com/scholar?hl=en{\&amp;}btnG=Search{\&amp;}q=intitle:Running+Pure{\#}1</w:t>
        </w:r>
      </w:hyperlink>
      <w:r>
        <w:t xml:space="preserve">.</w:t>
      </w:r>
    </w:p>
    <w:bookmarkEnd w:id="223"/>
    <w:bookmarkStart w:id="225"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224">
        <w:r>
          <w:rPr>
            <w:rStyle w:val="Hyperlink"/>
          </w:rPr>
          <w:t xml:space="preserve">https://doi.org/10.1016/j.watres.2010.08.051</w:t>
        </w:r>
      </w:hyperlink>
      <w:r>
        <w:t xml:space="preserve">.</w:t>
      </w:r>
    </w:p>
    <w:bookmarkEnd w:id="225"/>
    <w:bookmarkStart w:id="226" w:name="ref-Epps1994"/>
    <w:p>
      <w:pPr>
        <w:pStyle w:val="Bibliography"/>
      </w:pPr>
      <w:r>
        <w:t xml:space="preserve">Epps, Deborah Norine. 1994. “Factors Affecting Disinfection By-Products from Surface Source Waters on Vancouver Island.” Master of Science, University of Victoria.</w:t>
      </w:r>
    </w:p>
    <w:bookmarkEnd w:id="226"/>
    <w:bookmarkStart w:id="228" w:name="ref-Evans1999"/>
    <w:p>
      <w:pPr>
        <w:pStyle w:val="Bibliography"/>
      </w:pPr>
      <w:r>
        <w:t xml:space="preserve">Evans, C., T. D. Davies, and P. S. Murdoch. 1999. “Component flow processes at four streams in the Catskill Mountains, New York, analysed using episodic concentration/discharge relationship.”</w:t>
      </w:r>
      <w:r>
        <w:t xml:space="preserve"> </w:t>
      </w:r>
      <w:r>
        <w:rPr>
          <w:i/>
        </w:rPr>
        <w:t xml:space="preserve">Hydrological Processes</w:t>
      </w:r>
      <w:r>
        <w:t xml:space="preserve"> </w:t>
      </w:r>
      <w:r>
        <w:t xml:space="preserve">13 (4): 563–75.</w:t>
      </w:r>
      <w:r>
        <w:t xml:space="preserve"> </w:t>
      </w:r>
      <w:hyperlink r:id="rId227">
        <w:r>
          <w:rPr>
            <w:rStyle w:val="Hyperlink"/>
          </w:rPr>
          <w:t xml:space="preserve">https://doi.org/10.1002/(SICI)1099-1085(199903)13:4&lt;563::AID-HYP711&gt;3.0.CO;2-N</w:t>
        </w:r>
      </w:hyperlink>
      <w:r>
        <w:t xml:space="preserve">.</w:t>
      </w:r>
    </w:p>
    <w:bookmarkEnd w:id="228"/>
    <w:bookmarkStart w:id="230" w:name="ref-Evans1998"/>
    <w:p>
      <w:pPr>
        <w:pStyle w:val="Bibliography"/>
      </w:pPr>
      <w:r>
        <w:t xml:space="preserve">Evans, Christopher, and Trevor D. Davies. 1998. “Causes of concentration/discharge hysteresis and its potential as a tool for analysis of episode hydrochemistry.”</w:t>
      </w:r>
      <w:r>
        <w:t xml:space="preserve"> </w:t>
      </w:r>
      <w:r>
        <w:rPr>
          <w:i/>
        </w:rPr>
        <w:t xml:space="preserve">Water Resources Research</w:t>
      </w:r>
      <w:r>
        <w:t xml:space="preserve"> </w:t>
      </w:r>
      <w:r>
        <w:t xml:space="preserve">34 (1): 129–37.</w:t>
      </w:r>
      <w:r>
        <w:t xml:space="preserve"> </w:t>
      </w:r>
      <w:hyperlink r:id="rId229">
        <w:r>
          <w:rPr>
            <w:rStyle w:val="Hyperlink"/>
          </w:rPr>
          <w:t xml:space="preserve">https://doi.org/10.1029/97WR01881</w:t>
        </w:r>
      </w:hyperlink>
      <w:r>
        <w:t xml:space="preserve">.</w:t>
      </w:r>
    </w:p>
    <w:bookmarkEnd w:id="230"/>
    <w:bookmarkStart w:id="232" w:name="ref-SoilsCanada2018"/>
    <w:p>
      <w:pPr>
        <w:pStyle w:val="Bibliography"/>
      </w:pPr>
      <w:r>
        <w:t xml:space="preserve">Government of Canada. 2018. “Soils of British Columbia.”</w:t>
      </w:r>
      <w:r>
        <w:t xml:space="preserve"> </w:t>
      </w:r>
      <w:hyperlink r:id="rId231">
        <w:r>
          <w:rPr>
            <w:rStyle w:val="Hyperlink"/>
          </w:rPr>
          <w:t xml:space="preserve">http://sis.agr.gc.ca/cansis/soils/bc/soils.html</w:t>
        </w:r>
      </w:hyperlink>
      <w:r>
        <w:t xml:space="preserve">.</w:t>
      </w:r>
    </w:p>
    <w:bookmarkEnd w:id="232"/>
    <w:bookmarkStart w:id="234"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33">
        <w:r>
          <w:rPr>
            <w:rStyle w:val="Hyperlink"/>
          </w:rPr>
          <w:t xml:space="preserve">https://doi.org/10.3133/fs06700</w:t>
        </w:r>
      </w:hyperlink>
      <w:r>
        <w:t xml:space="preserve">.</w:t>
      </w:r>
    </w:p>
    <w:bookmarkEnd w:id="234"/>
    <w:bookmarkStart w:id="235" w:name="ref-Groome2003"/>
    <w:p>
      <w:pPr>
        <w:pStyle w:val="Bibliography"/>
      </w:pPr>
      <w:r>
        <w:t xml:space="preserve">Groome, Wesley G, Derek J Thorkelson, Richard M Friedman, James K Mortensen, Daniel D Marshall, and Paul W. Layer. 2003. “Magmatic and tectonic history of the Leech River Complex, Vancouver Island, British Columbia: Evidence for ridge-trench intersection and accretion of the Crescent Terrane.”</w:t>
      </w:r>
      <w:r>
        <w:t xml:space="preserve"> </w:t>
      </w:r>
      <w:r>
        <w:rPr>
          <w:i/>
        </w:rPr>
        <w:t xml:space="preserve">Geological Society of America Special Papers</w:t>
      </w:r>
      <w:r>
        <w:t xml:space="preserve"> </w:t>
      </w:r>
      <w:r>
        <w:t xml:space="preserve">371: 327–53.</w:t>
      </w:r>
    </w:p>
    <w:bookmarkEnd w:id="235"/>
    <w:bookmarkStart w:id="237"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36">
        <w:r>
          <w:rPr>
            <w:rStyle w:val="Hyperlink"/>
          </w:rPr>
          <w:t xml:space="preserve">https://doi.org/10.13031/2013.15662</w:t>
        </w:r>
      </w:hyperlink>
      <w:r>
        <w:t xml:space="preserve">.</w:t>
      </w:r>
    </w:p>
    <w:bookmarkEnd w:id="237"/>
    <w:bookmarkStart w:id="239" w:name="ref-HealthCanada2019"/>
    <w:p>
      <w:pPr>
        <w:pStyle w:val="Bibliography"/>
      </w:pPr>
      <w:r>
        <w:t xml:space="preserve">Health Canada. 2019a. “Guidance on Natural Organic Matter in Drinking Water.”</w:t>
      </w:r>
      <w:r>
        <w:t xml:space="preserve"> </w:t>
      </w:r>
      <w:hyperlink r:id="rId238">
        <w:r>
          <w:rPr>
            <w:rStyle w:val="Hyperlink"/>
          </w:rPr>
          <w:t xml:space="preserve">https://www.canada.ca/content/dam/hc-sc/documents/programs/consultation-organic-matter-drinking-water/NOM20190129-eng.pdf</w:t>
        </w:r>
      </w:hyperlink>
      <w:r>
        <w:t xml:space="preserve">.</w:t>
      </w:r>
    </w:p>
    <w:bookmarkEnd w:id="239"/>
    <w:bookmarkStart w:id="241"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40">
        <w:r>
          <w:rPr>
            <w:rStyle w:val="Hyperlink"/>
          </w:rPr>
          <w:t xml:space="preserve">https://www.canada.ca/content/dam/hc-sc/migration/hc-sc/ewh-semt/alt{\_}formats/pdf/pubs/water-eau/sum{\_}guide-res{\_}recom/summary-table-August-15-2019-eng.pdf</w:t>
        </w:r>
      </w:hyperlink>
      <w:r>
        <w:t xml:space="preserve">.</w:t>
      </w:r>
    </w:p>
    <w:bookmarkEnd w:id="241"/>
    <w:bookmarkStart w:id="243" w:name="ref-HealthCanada2006"/>
    <w:p>
      <w:pPr>
        <w:pStyle w:val="Bibliography"/>
      </w:pPr>
      <w:r>
        <w:t xml:space="preserve">HealthCanada. 2006. “Drinking Water Chlorination.”</w:t>
      </w:r>
      <w:r>
        <w:t xml:space="preserve"> </w:t>
      </w:r>
      <w:hyperlink r:id="rId242">
        <w:r>
          <w:rPr>
            <w:rStyle w:val="Hyperlink"/>
          </w:rPr>
          <w:t xml:space="preserve">https://www.canada.ca/en/health-canada/services/healthy-living/your-health/environment/drinking-water-chlorination.html</w:t>
        </w:r>
      </w:hyperlink>
      <w:r>
        <w:t xml:space="preserve">.</w:t>
      </w:r>
    </w:p>
    <w:bookmarkEnd w:id="243"/>
    <w:bookmarkStart w:id="245" w:name="ref-HealthLinkBC2018"/>
    <w:p>
      <w:pPr>
        <w:pStyle w:val="Bibliography"/>
      </w:pPr>
      <w:r>
        <w:t xml:space="preserve">HealthLinkBC. 2018. “Drinking Water Chlorination,” no. 49.</w:t>
      </w:r>
      <w:r>
        <w:t xml:space="preserve"> </w:t>
      </w:r>
      <w:hyperlink r:id="rId244">
        <w:r>
          <w:rPr>
            <w:rStyle w:val="Hyperlink"/>
          </w:rPr>
          <w:t xml:space="preserve">https://www.healthlinkbc.ca/healthlinkbc-files/drinking-water-chlorination</w:t>
        </w:r>
      </w:hyperlink>
      <w:r>
        <w:t xml:space="preserve">.</w:t>
      </w:r>
    </w:p>
    <w:bookmarkEnd w:id="245"/>
    <w:bookmarkStart w:id="247"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46">
        <w:r>
          <w:rPr>
            <w:rStyle w:val="Hyperlink"/>
          </w:rPr>
          <w:t xml:space="preserve">https://www.jstor.org/stable/40058211</w:t>
        </w:r>
      </w:hyperlink>
      <w:r>
        <w:t xml:space="preserve">.</w:t>
      </w:r>
    </w:p>
    <w:bookmarkEnd w:id="247"/>
    <w:bookmarkStart w:id="249"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48">
        <w:r>
          <w:rPr>
            <w:rStyle w:val="Hyperlink"/>
          </w:rPr>
          <w:t xml:space="preserve">https://doi.org/10.1029/2005JG000082</w:t>
        </w:r>
      </w:hyperlink>
      <w:r>
        <w:t xml:space="preserve">.</w:t>
      </w:r>
    </w:p>
    <w:bookmarkEnd w:id="249"/>
    <w:bookmarkStart w:id="251"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50">
        <w:r>
          <w:rPr>
            <w:rStyle w:val="Hyperlink"/>
          </w:rPr>
          <w:t xml:space="preserve">https://doi.org/10.1002/j.1551-8833.1995.tb06302.x</w:t>
        </w:r>
      </w:hyperlink>
      <w:r>
        <w:t xml:space="preserve">.</w:t>
      </w:r>
    </w:p>
    <w:bookmarkEnd w:id="251"/>
    <w:bookmarkStart w:id="253"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52">
        <w:r>
          <w:rPr>
            <w:rStyle w:val="Hyperlink"/>
          </w:rPr>
          <w:t xml:space="preserve">https://doi.org/doi:10.1046/j.1365-2427.1997.d01-539.x</w:t>
        </w:r>
      </w:hyperlink>
      <w:r>
        <w:t xml:space="preserve">.</w:t>
      </w:r>
    </w:p>
    <w:bookmarkEnd w:id="253"/>
    <w:bookmarkStart w:id="255"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54">
        <w:r>
          <w:rPr>
            <w:rStyle w:val="Hyperlink"/>
          </w:rPr>
          <w:t xml:space="preserve">https://www.jstor.org/stable/41311011</w:t>
        </w:r>
      </w:hyperlink>
      <w:r>
        <w:t xml:space="preserve">.</w:t>
      </w:r>
    </w:p>
    <w:bookmarkEnd w:id="255"/>
    <w:bookmarkStart w:id="257"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56">
        <w:r>
          <w:rPr>
            <w:rStyle w:val="Hyperlink"/>
          </w:rPr>
          <w:t xml:space="preserve">https://doi.org/10.1002/j.1551-8833.2002.tb10250.x</w:t>
        </w:r>
      </w:hyperlink>
      <w:r>
        <w:t xml:space="preserve">.</w:t>
      </w:r>
    </w:p>
    <w:bookmarkEnd w:id="257"/>
    <w:bookmarkStart w:id="259"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58">
        <w:r>
          <w:rPr>
            <w:rStyle w:val="Hyperlink"/>
          </w:rPr>
          <w:t xml:space="preserve">https://doi.org/10.1029/2005WR004362</w:t>
        </w:r>
      </w:hyperlink>
      <w:r>
        <w:t xml:space="preserve">.</w:t>
      </w:r>
    </w:p>
    <w:bookmarkEnd w:id="259"/>
    <w:bookmarkStart w:id="261" w:name="ref-Lambert2014"/>
    <w:p>
      <w:pPr>
        <w:pStyle w:val="Bibliography"/>
      </w:pPr>
      <w:r>
        <w:t xml:space="preserve">Lambert, T., A. C. Pierson-Wickmann, G. Gruau, A. Jaffrezic, P. Petitjean, J. N. Thibault, and L. Jeanneau. 2014. “DOC sources and DOC transport pathways in a small headwater catchment as revealed by carbon isotope fluctuation during storm events.”</w:t>
      </w:r>
      <w:r>
        <w:t xml:space="preserve"> </w:t>
      </w:r>
      <w:r>
        <w:rPr>
          <w:i/>
        </w:rPr>
        <w:t xml:space="preserve">Biogeosciences</w:t>
      </w:r>
      <w:r>
        <w:t xml:space="preserve"> </w:t>
      </w:r>
      <w:r>
        <w:t xml:space="preserve">11 (11): 3043–56.</w:t>
      </w:r>
      <w:r>
        <w:t xml:space="preserve"> </w:t>
      </w:r>
      <w:hyperlink r:id="rId260">
        <w:r>
          <w:rPr>
            <w:rStyle w:val="Hyperlink"/>
          </w:rPr>
          <w:t xml:space="preserve">https://doi.org/10.5194/bg-11-3043-2014</w:t>
        </w:r>
      </w:hyperlink>
      <w:r>
        <w:t xml:space="preserve">.</w:t>
      </w:r>
    </w:p>
    <w:bookmarkEnd w:id="261"/>
    <w:bookmarkStart w:id="263"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62">
        <w:r>
          <w:rPr>
            <w:rStyle w:val="Hyperlink"/>
          </w:rPr>
          <w:t xml:space="preserve">https://archive.org/details/metaltransportre00lazeuoft/mode/2up</w:t>
        </w:r>
      </w:hyperlink>
      <w:r>
        <w:t xml:space="preserve">.</w:t>
      </w:r>
    </w:p>
    <w:bookmarkEnd w:id="263"/>
    <w:bookmarkStart w:id="265"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64">
        <w:r>
          <w:rPr>
            <w:rStyle w:val="Hyperlink"/>
          </w:rPr>
          <w:t xml:space="preserve">https://doi.org/10.1016/j.jhazmat.2014.02.009</w:t>
        </w:r>
      </w:hyperlink>
      <w:r>
        <w:t xml:space="preserve">.</w:t>
      </w:r>
    </w:p>
    <w:bookmarkEnd w:id="265"/>
    <w:bookmarkStart w:id="267" w:name="ref-Liaw2018"/>
    <w:p>
      <w:pPr>
        <w:pStyle w:val="Bibliography"/>
      </w:pPr>
      <w:r>
        <w:t xml:space="preserve">Liaw, Andy, and Matthew Wiener. 2018. “randomForest: Breiman and Cutler’s Random Forests for Classification and Regression.” CRAN.</w:t>
      </w:r>
      <w:r>
        <w:t xml:space="preserve"> </w:t>
      </w:r>
      <w:hyperlink r:id="rId266">
        <w:r>
          <w:rPr>
            <w:rStyle w:val="Hyperlink"/>
          </w:rPr>
          <w:t xml:space="preserve">https://doi.org/10.1023/A:1010933404324</w:t>
        </w:r>
      </w:hyperlink>
      <w:r>
        <w:t xml:space="preserve">.</w:t>
      </w:r>
    </w:p>
    <w:bookmarkEnd w:id="267"/>
    <w:bookmarkStart w:id="269"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68">
        <w:r>
          <w:rPr>
            <w:rStyle w:val="Hyperlink"/>
          </w:rPr>
          <w:t xml:space="preserve">https://doi.org/10.1002/rra.1504</w:t>
        </w:r>
      </w:hyperlink>
      <w:r>
        <w:t xml:space="preserve">.</w:t>
      </w:r>
    </w:p>
    <w:bookmarkEnd w:id="269"/>
    <w:bookmarkStart w:id="271"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70">
        <w:r>
          <w:rPr>
            <w:rStyle w:val="Hyperlink"/>
          </w:rPr>
          <w:t xml:space="preserve">https://doi.org/10.1016/j.chemosphere.2011.01.018</w:t>
        </w:r>
      </w:hyperlink>
      <w:r>
        <w:t xml:space="preserve">.</w:t>
      </w:r>
    </w:p>
    <w:bookmarkEnd w:id="271"/>
    <w:bookmarkStart w:id="273"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72">
        <w:r>
          <w:rPr>
            <w:rStyle w:val="Hyperlink"/>
          </w:rPr>
          <w:t xml:space="preserve">https://doi.org/10.1016/j.cis.2010.06.007</w:t>
        </w:r>
      </w:hyperlink>
      <w:r>
        <w:t xml:space="preserve">.</w:t>
      </w:r>
    </w:p>
    <w:bookmarkEnd w:id="273"/>
    <w:bookmarkStart w:id="275" w:name="ref-McMillan2018"/>
    <w:p>
      <w:pPr>
        <w:pStyle w:val="Bibliography"/>
      </w:pPr>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w:t>
      </w:r>
      <w:r>
        <w:t xml:space="preserve"> </w:t>
      </w:r>
      <w:r>
        <w:rPr>
          <w:i/>
        </w:rPr>
        <w:t xml:space="preserve">Biogeochemistry</w:t>
      </w:r>
      <w:r>
        <w:t xml:space="preserve"> </w:t>
      </w:r>
      <w:r>
        <w:t xml:space="preserve">141 (3): 487–501.</w:t>
      </w:r>
      <w:r>
        <w:t xml:space="preserve"> </w:t>
      </w:r>
      <w:hyperlink r:id="rId274">
        <w:r>
          <w:rPr>
            <w:rStyle w:val="Hyperlink"/>
          </w:rPr>
          <w:t xml:space="preserve">https://doi.org/10.1007/s10533-018-0482-6</w:t>
        </w:r>
      </w:hyperlink>
      <w:r>
        <w:t xml:space="preserve">.</w:t>
      </w:r>
    </w:p>
    <w:bookmarkEnd w:id="275"/>
    <w:bookmarkStart w:id="277"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76">
        <w:r>
          <w:rPr>
            <w:rStyle w:val="Hyperlink"/>
          </w:rPr>
          <w:t xml:space="preserve">https://www.jstor.org/stable/1937326</w:t>
        </w:r>
      </w:hyperlink>
      <w:r>
        <w:t xml:space="preserve">.</w:t>
      </w:r>
    </w:p>
    <w:bookmarkEnd w:id="277"/>
    <w:bookmarkStart w:id="279"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278">
        <w:r>
          <w:rPr>
            <w:rStyle w:val="Hyperlink"/>
          </w:rPr>
          <w:t xml:space="preserve">https://doi.org/10.14288/1.0387350</w:t>
        </w:r>
      </w:hyperlink>
      <w:r>
        <w:t xml:space="preserve">.</w:t>
      </w:r>
    </w:p>
    <w:bookmarkEnd w:id="279"/>
    <w:bookmarkStart w:id="281"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80">
        <w:r>
          <w:rPr>
            <w:rStyle w:val="Hyperlink"/>
          </w:rPr>
          <w:t xml:space="preserve">https://doi.org/10.1007/s10533-015-0103-6</w:t>
        </w:r>
      </w:hyperlink>
      <w:r>
        <w:t xml:space="preserve">.</w:t>
      </w:r>
    </w:p>
    <w:bookmarkEnd w:id="281"/>
    <w:bookmarkStart w:id="283" w:name="ref-Musolff2015"/>
    <w:p>
      <w:pPr>
        <w:pStyle w:val="Bibliography"/>
      </w:pPr>
      <w:r>
        <w:t xml:space="preserve">Musolff, Andreas, Christian Schmidt, Benny Selle, and Jan H. Fleckenstein. 2015. “Catchment controls on solute export.”</w:t>
      </w:r>
      <w:r>
        <w:t xml:space="preserve"> </w:t>
      </w:r>
      <w:r>
        <w:rPr>
          <w:i/>
        </w:rPr>
        <w:t xml:space="preserve">Advances in Water Resources</w:t>
      </w:r>
      <w:r>
        <w:t xml:space="preserve"> </w:t>
      </w:r>
      <w:r>
        <w:t xml:space="preserve">86: 133–46.</w:t>
      </w:r>
      <w:r>
        <w:t xml:space="preserve"> </w:t>
      </w:r>
      <w:hyperlink r:id="rId282">
        <w:r>
          <w:rPr>
            <w:rStyle w:val="Hyperlink"/>
          </w:rPr>
          <w:t xml:space="preserve">https://doi.org/10.1016/j.advwatres.2015.09.026</w:t>
        </w:r>
      </w:hyperlink>
      <w:r>
        <w:t xml:space="preserve">.</w:t>
      </w:r>
    </w:p>
    <w:bookmarkEnd w:id="283"/>
    <w:bookmarkStart w:id="285"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84">
        <w:r>
          <w:rPr>
            <w:rStyle w:val="Hyperlink"/>
          </w:rPr>
          <w:t xml:space="preserve">http://hdl.handle.net/1885/40940</w:t>
        </w:r>
      </w:hyperlink>
      <w:r>
        <w:t xml:space="preserve">.</w:t>
      </w:r>
    </w:p>
    <w:bookmarkEnd w:id="285"/>
    <w:bookmarkStart w:id="287"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86">
        <w:r>
          <w:rPr>
            <w:rStyle w:val="Hyperlink"/>
          </w:rPr>
          <w:t xml:space="preserve">https://doi.org/10.5194/bg-10-2315-2013</w:t>
        </w:r>
      </w:hyperlink>
      <w:r>
        <w:t xml:space="preserve">.</w:t>
      </w:r>
    </w:p>
    <w:bookmarkEnd w:id="287"/>
    <w:bookmarkStart w:id="289"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88">
        <w:r>
          <w:rPr>
            <w:rStyle w:val="Hyperlink"/>
          </w:rPr>
          <w:t xml:space="preserve">http://www.jstor.com/stable/41295152</w:t>
        </w:r>
      </w:hyperlink>
      <w:r>
        <w:t xml:space="preserve">.</w:t>
      </w:r>
    </w:p>
    <w:bookmarkEnd w:id="289"/>
    <w:bookmarkStart w:id="291"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90">
        <w:r>
          <w:rPr>
            <w:rStyle w:val="Hyperlink"/>
          </w:rPr>
          <w:t xml:space="preserve">https://doi.org/10.1007/s11270-013-1651-9</w:t>
        </w:r>
      </w:hyperlink>
      <w:r>
        <w:t xml:space="preserve">.</w:t>
      </w:r>
    </w:p>
    <w:bookmarkEnd w:id="291"/>
    <w:bookmarkStart w:id="293" w:name="ref-Penna2019"/>
    <w:p>
      <w:pPr>
        <w:pStyle w:val="Bibliography"/>
      </w:pPr>
      <w:r>
        <w:t xml:space="preserve">Penna, Daniele, and H. J. (Ilja) van Meerveld. 2019. “Spatial variability in the isotopic composition of water in small catchments and its effect on hydrograph separation.”</w:t>
      </w:r>
      <w:r>
        <w:t xml:space="preserve"> </w:t>
      </w:r>
      <w:r>
        <w:rPr>
          <w:i/>
        </w:rPr>
        <w:t xml:space="preserve">Wiley Interdisciplinary Reviews: Water</w:t>
      </w:r>
      <w:r>
        <w:t xml:space="preserve"> </w:t>
      </w:r>
      <w:r>
        <w:t xml:space="preserve">6 (5): 1–33.</w:t>
      </w:r>
      <w:r>
        <w:t xml:space="preserve"> </w:t>
      </w:r>
      <w:hyperlink r:id="rId292">
        <w:r>
          <w:rPr>
            <w:rStyle w:val="Hyperlink"/>
          </w:rPr>
          <w:t xml:space="preserve">https://doi.org/10.1002/wat2.1367</w:t>
        </w:r>
      </w:hyperlink>
      <w:r>
        <w:t xml:space="preserve">.</w:t>
      </w:r>
    </w:p>
    <w:bookmarkEnd w:id="293"/>
    <w:bookmarkStart w:id="295"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94">
        <w:r>
          <w:rPr>
            <w:rStyle w:val="Hyperlink"/>
          </w:rPr>
          <w:t xml:space="preserve">https://doi.org/10.1016/S0003-2670(96)00412-6</w:t>
        </w:r>
      </w:hyperlink>
      <w:r>
        <w:t xml:space="preserve">.</w:t>
      </w:r>
    </w:p>
    <w:bookmarkEnd w:id="295"/>
    <w:bookmarkStart w:id="297"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96">
        <w:r>
          <w:rPr>
            <w:rStyle w:val="Hyperlink"/>
          </w:rPr>
          <w:t xml:space="preserve">https://www.for.gov.bc.ca/hfd/pubs/docs/lmh/Lmh66/LMH66{\_}volume2of2.pdf</w:t>
        </w:r>
      </w:hyperlink>
      <w:r>
        <w:t xml:space="preserve">.</w:t>
      </w:r>
    </w:p>
    <w:bookmarkEnd w:id="297"/>
    <w:bookmarkStart w:id="298"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98"/>
    <w:bookmarkStart w:id="300"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99">
        <w:r>
          <w:rPr>
            <w:rStyle w:val="Hyperlink"/>
          </w:rPr>
          <w:t xml:space="preserve">https://doi.org/10.1007/sl0533-010-9416-7</w:t>
        </w:r>
      </w:hyperlink>
      <w:r>
        <w:t xml:space="preserve">.</w:t>
      </w:r>
    </w:p>
    <w:bookmarkEnd w:id="300"/>
    <w:bookmarkStart w:id="302"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301">
        <w:r>
          <w:rPr>
            <w:rStyle w:val="Hyperlink"/>
          </w:rPr>
          <w:t xml:space="preserve">https://www.jstor.org/stable/24702986</w:t>
        </w:r>
      </w:hyperlink>
      <w:r>
        <w:t xml:space="preserve">.</w:t>
      </w:r>
    </w:p>
    <w:bookmarkEnd w:id="302"/>
    <w:bookmarkStart w:id="304"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303">
        <w:r>
          <w:rPr>
            <w:rStyle w:val="Hyperlink"/>
          </w:rPr>
          <w:t xml:space="preserve">https://doi.org/10.1016/j.scitotenv.2016.09.113</w:t>
        </w:r>
      </w:hyperlink>
      <w:r>
        <w:t xml:space="preserve">.</w:t>
      </w:r>
    </w:p>
    <w:bookmarkEnd w:id="304"/>
    <w:bookmarkStart w:id="306"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305">
        <w:r>
          <w:rPr>
            <w:rStyle w:val="Hyperlink"/>
          </w:rPr>
          <w:t xml:space="preserve">https://doi.org/10.1111/j.1365-2427.2011.02613.x</w:t>
        </w:r>
      </w:hyperlink>
      <w:r>
        <w:t xml:space="preserve">.</w:t>
      </w:r>
    </w:p>
    <w:bookmarkEnd w:id="306"/>
    <w:bookmarkStart w:id="308"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307">
        <w:r>
          <w:rPr>
            <w:rStyle w:val="Hyperlink"/>
          </w:rPr>
          <w:t xml:space="preserve">https://doi.org/10.1186/1471-2105-9-307</w:t>
        </w:r>
      </w:hyperlink>
      <w:r>
        <w:t xml:space="preserve">.</w:t>
      </w:r>
    </w:p>
    <w:bookmarkEnd w:id="308"/>
    <w:bookmarkStart w:id="310"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309">
        <w:r>
          <w:rPr>
            <w:rStyle w:val="Hyperlink"/>
          </w:rPr>
          <w:t xml:space="preserve">https://doi.org/10.1037/a0016973</w:t>
        </w:r>
      </w:hyperlink>
      <w:r>
        <w:t xml:space="preserve">.</w:t>
      </w:r>
    </w:p>
    <w:bookmarkEnd w:id="310"/>
    <w:bookmarkStart w:id="312"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311">
        <w:r>
          <w:rPr>
            <w:rStyle w:val="Hyperlink"/>
          </w:rPr>
          <w:t xml:space="preserve">https://doi.org/10.1016/j.jenvman.2007.03.001</w:t>
        </w:r>
      </w:hyperlink>
      <w:r>
        <w:t xml:space="preserve">.</w:t>
      </w:r>
    </w:p>
    <w:bookmarkEnd w:id="312"/>
    <w:bookmarkStart w:id="314"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r>
        <w:t xml:space="preserve"> </w:t>
      </w:r>
      <w:hyperlink r:id="rId313">
        <w:r>
          <w:rPr>
            <w:rStyle w:val="Hyperlink"/>
          </w:rPr>
          <w:t xml:space="preserve">https://doi.org/10.3390</w:t>
        </w:r>
      </w:hyperlink>
      <w:r>
        <w:t xml:space="preserve">.</w:t>
      </w:r>
    </w:p>
    <w:bookmarkEnd w:id="314"/>
    <w:bookmarkStart w:id="315"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315"/>
    <w:bookmarkStart w:id="316"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316"/>
    <w:bookmarkStart w:id="318" w:name="ref-Vaughan2019"/>
    <w:p>
      <w:pPr>
        <w:pStyle w:val="Bibliography"/>
      </w:pPr>
      <w:r>
        <w:t xml:space="preserve">Vaughan, M. C. H., W. B. Bowden, J. B. Shanley, A. Vermilyea, and A. W. Schroth. 2019. “Shining light on the storm: in-stream optics reveal hysteresis of dissolved organic matter character.”</w:t>
      </w:r>
      <w:r>
        <w:t xml:space="preserve"> </w:t>
      </w:r>
      <w:r>
        <w:rPr>
          <w:i/>
        </w:rPr>
        <w:t xml:space="preserve">Biogeochemistry</w:t>
      </w:r>
      <w:r>
        <w:t xml:space="preserve"> </w:t>
      </w:r>
      <w:r>
        <w:t xml:space="preserve">143 (3): 275–91.</w:t>
      </w:r>
      <w:r>
        <w:t xml:space="preserve"> </w:t>
      </w:r>
      <w:hyperlink r:id="rId317">
        <w:r>
          <w:rPr>
            <w:rStyle w:val="Hyperlink"/>
          </w:rPr>
          <w:t xml:space="preserve">https://doi.org/10.1007/s10533-019-00561-w</w:t>
        </w:r>
      </w:hyperlink>
      <w:r>
        <w:t xml:space="preserve">.</w:t>
      </w:r>
    </w:p>
    <w:bookmarkEnd w:id="318"/>
    <w:bookmarkStart w:id="320"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319">
        <w:r>
          <w:rPr>
            <w:rStyle w:val="Hyperlink"/>
          </w:rPr>
          <w:t xml:space="preserve">https://doi.org/10.1007/s10533-008-9207-6</w:t>
        </w:r>
      </w:hyperlink>
      <w:r>
        <w:t xml:space="preserve">.</w:t>
      </w:r>
    </w:p>
    <w:bookmarkEnd w:id="320"/>
    <w:bookmarkStart w:id="322"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321">
        <w:r>
          <w:rPr>
            <w:rStyle w:val="Hyperlink"/>
          </w:rPr>
          <w:t xml:space="preserve">https://doi.org/10.1021/es030360x</w:t>
        </w:r>
      </w:hyperlink>
      <w:r>
        <w:t xml:space="preserve">.</w:t>
      </w:r>
    </w:p>
    <w:bookmarkEnd w:id="322"/>
    <w:bookmarkStart w:id="324"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323">
        <w:r>
          <w:rPr>
            <w:rStyle w:val="Hyperlink"/>
          </w:rPr>
          <w:t xml:space="preserve">https://doi.org/10.1007/s11356-015-4078-6</w:t>
        </w:r>
      </w:hyperlink>
      <w:r>
        <w:t xml:space="preserve">.</w:t>
      </w:r>
    </w:p>
    <w:bookmarkEnd w:id="324"/>
    <w:bookmarkStart w:id="326"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325">
        <w:r>
          <w:rPr>
            <w:rStyle w:val="Hyperlink"/>
          </w:rPr>
          <w:t xml:space="preserve">https://doi.org/10.1029/2018GL080005</w:t>
        </w:r>
      </w:hyperlink>
      <w:r>
        <w:t xml:space="preserve">.</w:t>
      </w:r>
    </w:p>
    <w:bookmarkEnd w:id="326"/>
    <w:bookmarkEnd w:id="327"/>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76">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45" Target="media/rId145.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89" Target="media/rId89.png" /><Relationship Type="http://schemas.openxmlformats.org/officeDocument/2006/relationships/image" Id="rId168" Target="media/rId168.png" /><Relationship Type="http://schemas.openxmlformats.org/officeDocument/2006/relationships/image" Id="rId167" Target="media/rId167.png" /><Relationship Type="http://schemas.openxmlformats.org/officeDocument/2006/relationships/image" Id="rId177" Target="media/rId177.png" /><Relationship Type="http://schemas.openxmlformats.org/officeDocument/2006/relationships/image" Id="rId164" Target="media/rId164.png" /><Relationship Type="http://schemas.openxmlformats.org/officeDocument/2006/relationships/image" Id="rId163" Target="media/rId163.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159" Target="media/rId159.png" /><Relationship Type="http://schemas.openxmlformats.org/officeDocument/2006/relationships/image" Id="rId118" Target="media/rId118.pn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69" Target="media/rId169.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98" Target="media/rId9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3" Target="media/rId12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157" Target="media/rId157.png" /><Relationship Type="http://schemas.openxmlformats.org/officeDocument/2006/relationships/image" Id="rId156" Target="media/rId156.png" /><Relationship Type="http://schemas.openxmlformats.org/officeDocument/2006/relationships/image" Id="rId155" Target="media/rId155.png" /><Relationship Type="http://schemas.openxmlformats.org/officeDocument/2006/relationships/image" Id="rId154" Target="media/rId154.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53" Target="media/rId15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48" Target="media/rId148.png" /><Relationship Type="http://schemas.openxmlformats.org/officeDocument/2006/relationships/image" Id="rId120" Target="media/rId120.png" /><Relationship Type="http://schemas.openxmlformats.org/officeDocument/2006/relationships/image" Id="rId152" Target="media/rId152.png" /><Relationship Type="http://schemas.openxmlformats.org/officeDocument/2006/relationships/image" Id="rId151" Target="media/rId151.png" /><Relationship Type="http://schemas.openxmlformats.org/officeDocument/2006/relationships/hyperlink" Id="rId284" Target="http://hdl.handle.net/1885/40940" TargetMode="External" /><Relationship Type="http://schemas.openxmlformats.org/officeDocument/2006/relationships/hyperlink" Id="rId222" Target="http://scholar.google.com/scholar?hl=en%7B\&amp;%7DbtnG=Search%7B\&amp;%7Dq=intitle:Running+Pure%7B\#%7D1" TargetMode="External" /><Relationship Type="http://schemas.openxmlformats.org/officeDocument/2006/relationships/hyperlink" Id="rId231" Target="http://sis.agr.gc.ca/cansis/soils/bc/soils.html" TargetMode="External" /><Relationship Type="http://schemas.openxmlformats.org/officeDocument/2006/relationships/hyperlink" Id="rId288" Target="http://www.jstor.com/stable/41295152" TargetMode="External" /><Relationship Type="http://schemas.openxmlformats.org/officeDocument/2006/relationships/hyperlink" Id="rId190" Target="http://www.standardmethods.org/" TargetMode="External" /><Relationship Type="http://schemas.openxmlformats.org/officeDocument/2006/relationships/hyperlink" Id="rId262" Target="https://archive.org/details/metaltransportre00lazeuoft/mode/2up" TargetMode="External" /><Relationship Type="http://schemas.openxmlformats.org/officeDocument/2006/relationships/hyperlink" Id="rId227" Target="https://doi.org/10.1002/(SICI)1099-1085(199903)13:4%3C563::AID-HYP711%3E3.0.CO;2-N" TargetMode="External" /><Relationship Type="http://schemas.openxmlformats.org/officeDocument/2006/relationships/hyperlink" Id="rId180" Target="https://doi.org/10.1002/2017WR021578" TargetMode="External" /><Relationship Type="http://schemas.openxmlformats.org/officeDocument/2006/relationships/hyperlink" Id="rId182" Target="https://doi.org/10.1002/j.1551-8833.1995.tb06299.x" TargetMode="External" /><Relationship Type="http://schemas.openxmlformats.org/officeDocument/2006/relationships/hyperlink" Id="rId250" Target="https://doi.org/10.1002/j.1551-8833.1995.tb06302.x" TargetMode="External" /><Relationship Type="http://schemas.openxmlformats.org/officeDocument/2006/relationships/hyperlink" Id="rId256" Target="https://doi.org/10.1002/j.1551-8833.2002.tb10250.x" TargetMode="External" /><Relationship Type="http://schemas.openxmlformats.org/officeDocument/2006/relationships/hyperlink" Id="rId268" Target="https://doi.org/10.1002/rra.1504" TargetMode="External" /><Relationship Type="http://schemas.openxmlformats.org/officeDocument/2006/relationships/hyperlink" Id="rId292" Target="https://doi.org/10.1002/wat2.1367" TargetMode="External" /><Relationship Type="http://schemas.openxmlformats.org/officeDocument/2006/relationships/hyperlink" Id="rId208" Target="https://doi.org/10.1007/978-94-007-1363-5" TargetMode="External" /><Relationship Type="http://schemas.openxmlformats.org/officeDocument/2006/relationships/hyperlink" Id="rId319" Target="https://doi.org/10.1007/s10533-008-9207-6" TargetMode="External" /><Relationship Type="http://schemas.openxmlformats.org/officeDocument/2006/relationships/hyperlink" Id="rId280" Target="https://doi.org/10.1007/s10533-015-0103-6" TargetMode="External" /><Relationship Type="http://schemas.openxmlformats.org/officeDocument/2006/relationships/hyperlink" Id="rId274" Target="https://doi.org/10.1007/s10533-018-0482-6" TargetMode="External" /><Relationship Type="http://schemas.openxmlformats.org/officeDocument/2006/relationships/hyperlink" Id="rId317" Target="https://doi.org/10.1007/s10533-019-00561-w" TargetMode="External" /><Relationship Type="http://schemas.openxmlformats.org/officeDocument/2006/relationships/hyperlink" Id="rId290" Target="https://doi.org/10.1007/s11270-013-1651-9" TargetMode="External" /><Relationship Type="http://schemas.openxmlformats.org/officeDocument/2006/relationships/hyperlink" Id="rId323" Target="https://doi.org/10.1007/s11356-015-4078-6" TargetMode="External" /><Relationship Type="http://schemas.openxmlformats.org/officeDocument/2006/relationships/hyperlink" Id="rId194" Target="https://doi.org/10.1007/s11749-016-0481-7" TargetMode="External" /><Relationship Type="http://schemas.openxmlformats.org/officeDocument/2006/relationships/hyperlink" Id="rId299" Target="https://doi.org/10.1007/sl0533-010-9416-7" TargetMode="External" /><Relationship Type="http://schemas.openxmlformats.org/officeDocument/2006/relationships/hyperlink" Id="rId216" Target="https://doi.org/10.1016/B978-0-12-382092-1.00019-1" TargetMode="External" /><Relationship Type="http://schemas.openxmlformats.org/officeDocument/2006/relationships/hyperlink" Id="rId294" Target="https://doi.org/10.1016/S0003-2670(96)00412-6" TargetMode="External" /><Relationship Type="http://schemas.openxmlformats.org/officeDocument/2006/relationships/hyperlink" Id="rId282" Target="https://doi.org/10.1016/j.advwatres.2015.09.026" TargetMode="External" /><Relationship Type="http://schemas.openxmlformats.org/officeDocument/2006/relationships/hyperlink" Id="rId270" Target="https://doi.org/10.1016/j.chemosphere.2011.01.018" TargetMode="External" /><Relationship Type="http://schemas.openxmlformats.org/officeDocument/2006/relationships/hyperlink" Id="rId272" Target="https://doi.org/10.1016/j.cis.2010.06.007" TargetMode="External" /><Relationship Type="http://schemas.openxmlformats.org/officeDocument/2006/relationships/hyperlink" Id="rId311" Target="https://doi.org/10.1016/j.jenvman.2007.03.001" TargetMode="External" /><Relationship Type="http://schemas.openxmlformats.org/officeDocument/2006/relationships/hyperlink" Id="rId264" Target="https://doi.org/10.1016/j.jhazmat.2014.02.009" TargetMode="External" /><Relationship Type="http://schemas.openxmlformats.org/officeDocument/2006/relationships/hyperlink" Id="rId186" Target="https://doi.org/10.1016/j.jhydrol.2014.05.060" TargetMode="External" /><Relationship Type="http://schemas.openxmlformats.org/officeDocument/2006/relationships/hyperlink" Id="rId303" Target="https://doi.org/10.1016/j.scitotenv.2016.09.113" TargetMode="External" /><Relationship Type="http://schemas.openxmlformats.org/officeDocument/2006/relationships/hyperlink" Id="rId224" Target="https://doi.org/10.1016/j.watres.2010.08.051" TargetMode="External" /><Relationship Type="http://schemas.openxmlformats.org/officeDocument/2006/relationships/hyperlink" Id="rId218" Target="https://doi.org/10.1016/j.watres.2016.08.031" TargetMode="External" /><Relationship Type="http://schemas.openxmlformats.org/officeDocument/2006/relationships/hyperlink" Id="rId321" Target="https://doi.org/10.1021/es030360x" TargetMode="External" /><Relationship Type="http://schemas.openxmlformats.org/officeDocument/2006/relationships/hyperlink" Id="rId184" Target="https://doi.org/10.1021/es103992s" TargetMode="External" /><Relationship Type="http://schemas.openxmlformats.org/officeDocument/2006/relationships/hyperlink" Id="rId266" Target="https://doi.org/10.1023/A:1010933404324" TargetMode="External" /><Relationship Type="http://schemas.openxmlformats.org/officeDocument/2006/relationships/hyperlink" Id="rId248" Target="https://doi.org/10.1029/2005JG000082" TargetMode="External" /><Relationship Type="http://schemas.openxmlformats.org/officeDocument/2006/relationships/hyperlink" Id="rId258" Target="https://doi.org/10.1029/2005WR004362" TargetMode="External" /><Relationship Type="http://schemas.openxmlformats.org/officeDocument/2006/relationships/hyperlink" Id="rId188" Target="https://doi.org/10.1029/2007JG000674" TargetMode="External" /><Relationship Type="http://schemas.openxmlformats.org/officeDocument/2006/relationships/hyperlink" Id="rId325" Target="https://doi.org/10.1029/2018GL080005" TargetMode="External" /><Relationship Type="http://schemas.openxmlformats.org/officeDocument/2006/relationships/hyperlink" Id="rId229" Target="https://doi.org/10.1029/97WR01881" TargetMode="External" /><Relationship Type="http://schemas.openxmlformats.org/officeDocument/2006/relationships/hyperlink" Id="rId309" Target="https://doi.org/10.1037/a0016973" TargetMode="External" /><Relationship Type="http://schemas.openxmlformats.org/officeDocument/2006/relationships/hyperlink" Id="rId178" Target="https://doi.org/10.1111/ele.12897" TargetMode="External" /><Relationship Type="http://schemas.openxmlformats.org/officeDocument/2006/relationships/hyperlink" Id="rId305" Target="https://doi.org/10.1111/j.1365-2427.2011.02613.x" TargetMode="External" /><Relationship Type="http://schemas.openxmlformats.org/officeDocument/2006/relationships/hyperlink" Id="rId214" Target="https://doi.org/10.1139/cjfas-2014-0400" TargetMode="External" /><Relationship Type="http://schemas.openxmlformats.org/officeDocument/2006/relationships/hyperlink" Id="rId307" Target="https://doi.org/10.1186/1471-2105-9-307" TargetMode="External" /><Relationship Type="http://schemas.openxmlformats.org/officeDocument/2006/relationships/hyperlink" Id="rId196" Target="https://doi.org/10.1201/9780367816377-11" TargetMode="External" /><Relationship Type="http://schemas.openxmlformats.org/officeDocument/2006/relationships/hyperlink" Id="rId236" Target="https://doi.org/10.13031/2013.15662" TargetMode="External" /><Relationship Type="http://schemas.openxmlformats.org/officeDocument/2006/relationships/hyperlink" Id="rId278" Target="https://doi.org/10.14288/1.0387350" TargetMode="External" /><Relationship Type="http://schemas.openxmlformats.org/officeDocument/2006/relationships/hyperlink" Id="rId192" Target="https://doi.org/10.2105/SMWW.2882.113" TargetMode="External" /><Relationship Type="http://schemas.openxmlformats.org/officeDocument/2006/relationships/hyperlink" Id="rId206" Target="https://doi.org/10.2166/aqua.2008.064" TargetMode="External" /><Relationship Type="http://schemas.openxmlformats.org/officeDocument/2006/relationships/hyperlink" Id="rId233" Target="https://doi.org/10.3133/fs06700" TargetMode="External" /><Relationship Type="http://schemas.openxmlformats.org/officeDocument/2006/relationships/hyperlink" Id="rId313" Target="https://doi.org/10.3390" TargetMode="External" /><Relationship Type="http://schemas.openxmlformats.org/officeDocument/2006/relationships/hyperlink" Id="rId286" Target="https://doi.org/10.5194/bg-10-2315-2013" TargetMode="External" /><Relationship Type="http://schemas.openxmlformats.org/officeDocument/2006/relationships/hyperlink" Id="rId260" Target="https://doi.org/10.5194/bg-11-3043-2014" TargetMode="External" /><Relationship Type="http://schemas.openxmlformats.org/officeDocument/2006/relationships/hyperlink" Id="rId212" Target="https://doi.org/IWSS-297445977-5079" TargetMode="External" /><Relationship Type="http://schemas.openxmlformats.org/officeDocument/2006/relationships/hyperlink" Id="rId252" Target="https://doi.org/doi:10.1046/j.1365-2427.1997.d01-539.x" TargetMode="External" /><Relationship Type="http://schemas.openxmlformats.org/officeDocument/2006/relationships/hyperlink" Id="rId220" Target="https://pubs.er.usgs.gov/publication/sir20075282" TargetMode="External" /><Relationship Type="http://schemas.openxmlformats.org/officeDocument/2006/relationships/hyperlink" Id="rId201" Target="https://soilsofcanada.ca" TargetMode="External" /><Relationship Type="http://schemas.openxmlformats.org/officeDocument/2006/relationships/hyperlink" Id="rId238" Target="https://www.canada.ca/content/dam/hc-sc/documents/programs/consultation-organic-matter-drinking-water/NOM20190129-eng.pdf" TargetMode="External" /><Relationship Type="http://schemas.openxmlformats.org/officeDocument/2006/relationships/hyperlink" Id="rId240" Target="https://www.canada.ca/content/dam/hc-sc/migration/hc-sc/ewh-semt/alt%7B\_%7Dformats/pdf/pubs/water-eau/sum%7B\_%7Dguide-res%7B\_%7Drecom/summary-table-August-15-2019-eng.pdf" TargetMode="External" /><Relationship Type="http://schemas.openxmlformats.org/officeDocument/2006/relationships/hyperlink" Id="rId242" Target="https://www.canada.ca/en/health-canada/services/healthy-living/your-health/environment/drinking-water-chlorination.html" TargetMode="External" /><Relationship Type="http://schemas.openxmlformats.org/officeDocument/2006/relationships/hyperlink" Id="rId210" Target="https://www.crd.bc.ca/project/past-capital-projects-and-initiatives/water-supply-plan" TargetMode="External" /><Relationship Type="http://schemas.openxmlformats.org/officeDocument/2006/relationships/hyperlink" Id="rId203" Target="https://www.crd.bc.ca/service/public-tours/watershed-tours/facts-figures" TargetMode="External" /><Relationship Type="http://schemas.openxmlformats.org/officeDocument/2006/relationships/hyperlink" Id="rId296"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44" Target="https://www.healthlinkbc.ca/healthlinkbc-files/drinking-water-chlorination" TargetMode="External" /><Relationship Type="http://schemas.openxmlformats.org/officeDocument/2006/relationships/hyperlink" Id="rId276" Target="https://www.jstor.org/stable/1937326" TargetMode="External" /><Relationship Type="http://schemas.openxmlformats.org/officeDocument/2006/relationships/hyperlink" Id="rId301" Target="https://www.jstor.org/stable/24702986" TargetMode="External" /><Relationship Type="http://schemas.openxmlformats.org/officeDocument/2006/relationships/hyperlink" Id="rId246" Target="https://www.jstor.org/stable/40058211" TargetMode="External" /><Relationship Type="http://schemas.openxmlformats.org/officeDocument/2006/relationships/hyperlink" Id="rId254" Target="https://www.jstor.org/stable/41311011" TargetMode="External" /><Relationship Type="http://schemas.openxmlformats.org/officeDocument/2006/relationships/hyperlink" Id="rId198"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84" Target="http://hdl.handle.net/1885/40940" TargetMode="External" /><Relationship Type="http://schemas.openxmlformats.org/officeDocument/2006/relationships/hyperlink" Id="rId222" Target="http://scholar.google.com/scholar?hl=en%7B\&amp;%7DbtnG=Search%7B\&amp;%7Dq=intitle:Running+Pure%7B\#%7D1" TargetMode="External" /><Relationship Type="http://schemas.openxmlformats.org/officeDocument/2006/relationships/hyperlink" Id="rId231" Target="http://sis.agr.gc.ca/cansis/soils/bc/soils.html" TargetMode="External" /><Relationship Type="http://schemas.openxmlformats.org/officeDocument/2006/relationships/hyperlink" Id="rId288" Target="http://www.jstor.com/stable/41295152" TargetMode="External" /><Relationship Type="http://schemas.openxmlformats.org/officeDocument/2006/relationships/hyperlink" Id="rId190" Target="http://www.standardmethods.org/" TargetMode="External" /><Relationship Type="http://schemas.openxmlformats.org/officeDocument/2006/relationships/hyperlink" Id="rId262" Target="https://archive.org/details/metaltransportre00lazeuoft/mode/2up" TargetMode="External" /><Relationship Type="http://schemas.openxmlformats.org/officeDocument/2006/relationships/hyperlink" Id="rId227" Target="https://doi.org/10.1002/(SICI)1099-1085(199903)13:4%3C563::AID-HYP711%3E3.0.CO;2-N" TargetMode="External" /><Relationship Type="http://schemas.openxmlformats.org/officeDocument/2006/relationships/hyperlink" Id="rId180" Target="https://doi.org/10.1002/2017WR021578" TargetMode="External" /><Relationship Type="http://schemas.openxmlformats.org/officeDocument/2006/relationships/hyperlink" Id="rId182" Target="https://doi.org/10.1002/j.1551-8833.1995.tb06299.x" TargetMode="External" /><Relationship Type="http://schemas.openxmlformats.org/officeDocument/2006/relationships/hyperlink" Id="rId250" Target="https://doi.org/10.1002/j.1551-8833.1995.tb06302.x" TargetMode="External" /><Relationship Type="http://schemas.openxmlformats.org/officeDocument/2006/relationships/hyperlink" Id="rId256" Target="https://doi.org/10.1002/j.1551-8833.2002.tb10250.x" TargetMode="External" /><Relationship Type="http://schemas.openxmlformats.org/officeDocument/2006/relationships/hyperlink" Id="rId268" Target="https://doi.org/10.1002/rra.1504" TargetMode="External" /><Relationship Type="http://schemas.openxmlformats.org/officeDocument/2006/relationships/hyperlink" Id="rId292" Target="https://doi.org/10.1002/wat2.1367" TargetMode="External" /><Relationship Type="http://schemas.openxmlformats.org/officeDocument/2006/relationships/hyperlink" Id="rId208" Target="https://doi.org/10.1007/978-94-007-1363-5" TargetMode="External" /><Relationship Type="http://schemas.openxmlformats.org/officeDocument/2006/relationships/hyperlink" Id="rId319" Target="https://doi.org/10.1007/s10533-008-9207-6" TargetMode="External" /><Relationship Type="http://schemas.openxmlformats.org/officeDocument/2006/relationships/hyperlink" Id="rId280" Target="https://doi.org/10.1007/s10533-015-0103-6" TargetMode="External" /><Relationship Type="http://schemas.openxmlformats.org/officeDocument/2006/relationships/hyperlink" Id="rId274" Target="https://doi.org/10.1007/s10533-018-0482-6" TargetMode="External" /><Relationship Type="http://schemas.openxmlformats.org/officeDocument/2006/relationships/hyperlink" Id="rId317" Target="https://doi.org/10.1007/s10533-019-00561-w" TargetMode="External" /><Relationship Type="http://schemas.openxmlformats.org/officeDocument/2006/relationships/hyperlink" Id="rId290" Target="https://doi.org/10.1007/s11270-013-1651-9" TargetMode="External" /><Relationship Type="http://schemas.openxmlformats.org/officeDocument/2006/relationships/hyperlink" Id="rId323" Target="https://doi.org/10.1007/s11356-015-4078-6" TargetMode="External" /><Relationship Type="http://schemas.openxmlformats.org/officeDocument/2006/relationships/hyperlink" Id="rId194" Target="https://doi.org/10.1007/s11749-016-0481-7" TargetMode="External" /><Relationship Type="http://schemas.openxmlformats.org/officeDocument/2006/relationships/hyperlink" Id="rId299" Target="https://doi.org/10.1007/sl0533-010-9416-7" TargetMode="External" /><Relationship Type="http://schemas.openxmlformats.org/officeDocument/2006/relationships/hyperlink" Id="rId216" Target="https://doi.org/10.1016/B978-0-12-382092-1.00019-1" TargetMode="External" /><Relationship Type="http://schemas.openxmlformats.org/officeDocument/2006/relationships/hyperlink" Id="rId294" Target="https://doi.org/10.1016/S0003-2670(96)00412-6" TargetMode="External" /><Relationship Type="http://schemas.openxmlformats.org/officeDocument/2006/relationships/hyperlink" Id="rId282" Target="https://doi.org/10.1016/j.advwatres.2015.09.026" TargetMode="External" /><Relationship Type="http://schemas.openxmlformats.org/officeDocument/2006/relationships/hyperlink" Id="rId270" Target="https://doi.org/10.1016/j.chemosphere.2011.01.018" TargetMode="External" /><Relationship Type="http://schemas.openxmlformats.org/officeDocument/2006/relationships/hyperlink" Id="rId272" Target="https://doi.org/10.1016/j.cis.2010.06.007" TargetMode="External" /><Relationship Type="http://schemas.openxmlformats.org/officeDocument/2006/relationships/hyperlink" Id="rId311" Target="https://doi.org/10.1016/j.jenvman.2007.03.001" TargetMode="External" /><Relationship Type="http://schemas.openxmlformats.org/officeDocument/2006/relationships/hyperlink" Id="rId264" Target="https://doi.org/10.1016/j.jhazmat.2014.02.009" TargetMode="External" /><Relationship Type="http://schemas.openxmlformats.org/officeDocument/2006/relationships/hyperlink" Id="rId186" Target="https://doi.org/10.1016/j.jhydrol.2014.05.060" TargetMode="External" /><Relationship Type="http://schemas.openxmlformats.org/officeDocument/2006/relationships/hyperlink" Id="rId303" Target="https://doi.org/10.1016/j.scitotenv.2016.09.113" TargetMode="External" /><Relationship Type="http://schemas.openxmlformats.org/officeDocument/2006/relationships/hyperlink" Id="rId224" Target="https://doi.org/10.1016/j.watres.2010.08.051" TargetMode="External" /><Relationship Type="http://schemas.openxmlformats.org/officeDocument/2006/relationships/hyperlink" Id="rId218" Target="https://doi.org/10.1016/j.watres.2016.08.031" TargetMode="External" /><Relationship Type="http://schemas.openxmlformats.org/officeDocument/2006/relationships/hyperlink" Id="rId321" Target="https://doi.org/10.1021/es030360x" TargetMode="External" /><Relationship Type="http://schemas.openxmlformats.org/officeDocument/2006/relationships/hyperlink" Id="rId184" Target="https://doi.org/10.1021/es103992s" TargetMode="External" /><Relationship Type="http://schemas.openxmlformats.org/officeDocument/2006/relationships/hyperlink" Id="rId266" Target="https://doi.org/10.1023/A:1010933404324" TargetMode="External" /><Relationship Type="http://schemas.openxmlformats.org/officeDocument/2006/relationships/hyperlink" Id="rId248" Target="https://doi.org/10.1029/2005JG000082" TargetMode="External" /><Relationship Type="http://schemas.openxmlformats.org/officeDocument/2006/relationships/hyperlink" Id="rId258" Target="https://doi.org/10.1029/2005WR004362" TargetMode="External" /><Relationship Type="http://schemas.openxmlformats.org/officeDocument/2006/relationships/hyperlink" Id="rId188" Target="https://doi.org/10.1029/2007JG000674" TargetMode="External" /><Relationship Type="http://schemas.openxmlformats.org/officeDocument/2006/relationships/hyperlink" Id="rId325" Target="https://doi.org/10.1029/2018GL080005" TargetMode="External" /><Relationship Type="http://schemas.openxmlformats.org/officeDocument/2006/relationships/hyperlink" Id="rId229" Target="https://doi.org/10.1029/97WR01881" TargetMode="External" /><Relationship Type="http://schemas.openxmlformats.org/officeDocument/2006/relationships/hyperlink" Id="rId309" Target="https://doi.org/10.1037/a0016973" TargetMode="External" /><Relationship Type="http://schemas.openxmlformats.org/officeDocument/2006/relationships/hyperlink" Id="rId178" Target="https://doi.org/10.1111/ele.12897" TargetMode="External" /><Relationship Type="http://schemas.openxmlformats.org/officeDocument/2006/relationships/hyperlink" Id="rId305" Target="https://doi.org/10.1111/j.1365-2427.2011.02613.x" TargetMode="External" /><Relationship Type="http://schemas.openxmlformats.org/officeDocument/2006/relationships/hyperlink" Id="rId214" Target="https://doi.org/10.1139/cjfas-2014-0400" TargetMode="External" /><Relationship Type="http://schemas.openxmlformats.org/officeDocument/2006/relationships/hyperlink" Id="rId307" Target="https://doi.org/10.1186/1471-2105-9-307" TargetMode="External" /><Relationship Type="http://schemas.openxmlformats.org/officeDocument/2006/relationships/hyperlink" Id="rId196" Target="https://doi.org/10.1201/9780367816377-11" TargetMode="External" /><Relationship Type="http://schemas.openxmlformats.org/officeDocument/2006/relationships/hyperlink" Id="rId236" Target="https://doi.org/10.13031/2013.15662" TargetMode="External" /><Relationship Type="http://schemas.openxmlformats.org/officeDocument/2006/relationships/hyperlink" Id="rId278" Target="https://doi.org/10.14288/1.0387350" TargetMode="External" /><Relationship Type="http://schemas.openxmlformats.org/officeDocument/2006/relationships/hyperlink" Id="rId192" Target="https://doi.org/10.2105/SMWW.2882.113" TargetMode="External" /><Relationship Type="http://schemas.openxmlformats.org/officeDocument/2006/relationships/hyperlink" Id="rId206" Target="https://doi.org/10.2166/aqua.2008.064" TargetMode="External" /><Relationship Type="http://schemas.openxmlformats.org/officeDocument/2006/relationships/hyperlink" Id="rId233" Target="https://doi.org/10.3133/fs06700" TargetMode="External" /><Relationship Type="http://schemas.openxmlformats.org/officeDocument/2006/relationships/hyperlink" Id="rId313" Target="https://doi.org/10.3390" TargetMode="External" /><Relationship Type="http://schemas.openxmlformats.org/officeDocument/2006/relationships/hyperlink" Id="rId286" Target="https://doi.org/10.5194/bg-10-2315-2013" TargetMode="External" /><Relationship Type="http://schemas.openxmlformats.org/officeDocument/2006/relationships/hyperlink" Id="rId260" Target="https://doi.org/10.5194/bg-11-3043-2014" TargetMode="External" /><Relationship Type="http://schemas.openxmlformats.org/officeDocument/2006/relationships/hyperlink" Id="rId212" Target="https://doi.org/IWSS-297445977-5079" TargetMode="External" /><Relationship Type="http://schemas.openxmlformats.org/officeDocument/2006/relationships/hyperlink" Id="rId252" Target="https://doi.org/doi:10.1046/j.1365-2427.1997.d01-539.x" TargetMode="External" /><Relationship Type="http://schemas.openxmlformats.org/officeDocument/2006/relationships/hyperlink" Id="rId220" Target="https://pubs.er.usgs.gov/publication/sir20075282" TargetMode="External" /><Relationship Type="http://schemas.openxmlformats.org/officeDocument/2006/relationships/hyperlink" Id="rId201" Target="https://soilsofcanada.ca" TargetMode="External" /><Relationship Type="http://schemas.openxmlformats.org/officeDocument/2006/relationships/hyperlink" Id="rId238" Target="https://www.canada.ca/content/dam/hc-sc/documents/programs/consultation-organic-matter-drinking-water/NOM20190129-eng.pdf" TargetMode="External" /><Relationship Type="http://schemas.openxmlformats.org/officeDocument/2006/relationships/hyperlink" Id="rId240" Target="https://www.canada.ca/content/dam/hc-sc/migration/hc-sc/ewh-semt/alt%7B\_%7Dformats/pdf/pubs/water-eau/sum%7B\_%7Dguide-res%7B\_%7Drecom/summary-table-August-15-2019-eng.pdf" TargetMode="External" /><Relationship Type="http://schemas.openxmlformats.org/officeDocument/2006/relationships/hyperlink" Id="rId242" Target="https://www.canada.ca/en/health-canada/services/healthy-living/your-health/environment/drinking-water-chlorination.html" TargetMode="External" /><Relationship Type="http://schemas.openxmlformats.org/officeDocument/2006/relationships/hyperlink" Id="rId210" Target="https://www.crd.bc.ca/project/past-capital-projects-and-initiatives/water-supply-plan" TargetMode="External" /><Relationship Type="http://schemas.openxmlformats.org/officeDocument/2006/relationships/hyperlink" Id="rId203" Target="https://www.crd.bc.ca/service/public-tours/watershed-tours/facts-figures" TargetMode="External" /><Relationship Type="http://schemas.openxmlformats.org/officeDocument/2006/relationships/hyperlink" Id="rId296"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44" Target="https://www.healthlinkbc.ca/healthlinkbc-files/drinking-water-chlorination" TargetMode="External" /><Relationship Type="http://schemas.openxmlformats.org/officeDocument/2006/relationships/hyperlink" Id="rId276" Target="https://www.jstor.org/stable/1937326" TargetMode="External" /><Relationship Type="http://schemas.openxmlformats.org/officeDocument/2006/relationships/hyperlink" Id="rId301" Target="https://www.jstor.org/stable/24702986" TargetMode="External" /><Relationship Type="http://schemas.openxmlformats.org/officeDocument/2006/relationships/hyperlink" Id="rId246" Target="https://www.jstor.org/stable/40058211" TargetMode="External" /><Relationship Type="http://schemas.openxmlformats.org/officeDocument/2006/relationships/hyperlink" Id="rId254" Target="https://www.jstor.org/stable/41311011" TargetMode="External" /><Relationship Type="http://schemas.openxmlformats.org/officeDocument/2006/relationships/hyperlink" Id="rId198"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32</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21024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concentration and character across the Leech River watershed, a second growth forested drinking water supply area on Vancouver Island, BC: an assessment of dissolved organic carbon and spectral properties</dc:title>
  <dc:creator>Hannah J. McSorley</dc:creator>
  <cp:keywords/>
  <dcterms:created xsi:type="dcterms:W3CDTF">2020-10-01T17:37:17Z</dcterms:created>
  <dcterms:modified xsi:type="dcterms:W3CDTF">2020-10-01T17:37:17Z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